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DAC3A" w14:textId="0A642C1C" w:rsidR="00F9352F" w:rsidRPr="00145DC1" w:rsidRDefault="00F9352F" w:rsidP="00F9352F">
      <w:pPr>
        <w:tabs>
          <w:tab w:val="center" w:pos="4536"/>
          <w:tab w:val="right" w:pos="9639"/>
        </w:tabs>
        <w:spacing w:after="0"/>
        <w:ind w:right="2"/>
        <w:rPr>
          <w:rFonts w:ascii="Arial" w:eastAsia="Batang" w:hAnsi="Arial" w:cs="Arial"/>
          <w:b/>
          <w:bCs/>
          <w:sz w:val="28"/>
          <w:lang w:eastAsia="en-US"/>
        </w:rPr>
      </w:pPr>
      <w:bookmarkStart w:id="0" w:name="_Hlk145670493"/>
      <w:r w:rsidRPr="00145DC1">
        <w:rPr>
          <w:rFonts w:ascii="Arial" w:eastAsia="Batang" w:hAnsi="Arial" w:cs="Arial"/>
          <w:b/>
          <w:bCs/>
          <w:sz w:val="28"/>
          <w:lang w:eastAsia="en-US"/>
        </w:rPr>
        <w:t>3GPP TSG RAN WG</w:t>
      </w:r>
      <w:r w:rsidR="0036246B">
        <w:rPr>
          <w:rFonts w:ascii="Arial" w:eastAsia="Batang" w:hAnsi="Arial" w:cs="Arial"/>
          <w:b/>
          <w:bCs/>
          <w:sz w:val="28"/>
          <w:lang w:eastAsia="en-US"/>
        </w:rPr>
        <w:t>2</w:t>
      </w:r>
      <w:r w:rsidRPr="00145DC1">
        <w:rPr>
          <w:rFonts w:ascii="Arial" w:eastAsia="Batang" w:hAnsi="Arial" w:cs="Arial"/>
          <w:b/>
          <w:bCs/>
          <w:sz w:val="28"/>
          <w:lang w:eastAsia="en-US"/>
        </w:rPr>
        <w:t xml:space="preserve"> #1</w:t>
      </w:r>
      <w:r w:rsidR="00E80D70">
        <w:rPr>
          <w:rFonts w:ascii="Arial" w:eastAsia="Batang" w:hAnsi="Arial" w:cs="Arial"/>
          <w:b/>
          <w:bCs/>
          <w:sz w:val="28"/>
          <w:lang w:eastAsia="en-US"/>
        </w:rPr>
        <w:t>29bis</w:t>
      </w:r>
      <w:r w:rsidRPr="00145DC1">
        <w:rPr>
          <w:rFonts w:ascii="Arial" w:eastAsia="Batang" w:hAnsi="Arial" w:cs="Arial"/>
          <w:b/>
          <w:bCs/>
          <w:sz w:val="28"/>
          <w:lang w:eastAsia="en-US"/>
        </w:rPr>
        <w:tab/>
      </w:r>
      <w:r w:rsidRPr="00145DC1">
        <w:rPr>
          <w:rFonts w:ascii="Arial" w:eastAsia="Batang" w:hAnsi="Arial" w:cs="Arial"/>
          <w:b/>
          <w:bCs/>
          <w:sz w:val="28"/>
          <w:lang w:eastAsia="en-US"/>
        </w:rPr>
        <w:tab/>
      </w:r>
      <w:r w:rsidRPr="00860D50">
        <w:rPr>
          <w:rFonts w:ascii="Arial" w:eastAsia="Batang" w:hAnsi="Arial" w:cs="Arial"/>
          <w:b/>
          <w:bCs/>
          <w:sz w:val="28"/>
          <w:lang w:eastAsia="en-US"/>
        </w:rPr>
        <w:t>R</w:t>
      </w:r>
      <w:r w:rsidR="0036246B" w:rsidRPr="00860D50">
        <w:rPr>
          <w:rFonts w:ascii="Arial" w:eastAsia="Batang" w:hAnsi="Arial" w:cs="Arial"/>
          <w:b/>
          <w:bCs/>
          <w:sz w:val="28"/>
          <w:lang w:eastAsia="en-US"/>
        </w:rPr>
        <w:t>2</w:t>
      </w:r>
      <w:r w:rsidRPr="00860D50">
        <w:rPr>
          <w:rFonts w:ascii="Arial" w:eastAsia="Batang" w:hAnsi="Arial" w:cs="Arial"/>
          <w:b/>
          <w:bCs/>
          <w:sz w:val="28"/>
          <w:lang w:eastAsia="en-US"/>
        </w:rPr>
        <w:t>-2</w:t>
      </w:r>
      <w:r w:rsidR="00512D32" w:rsidRPr="00860D50">
        <w:rPr>
          <w:rFonts w:ascii="Arial" w:eastAsia="Batang" w:hAnsi="Arial" w:cs="Arial"/>
          <w:b/>
          <w:bCs/>
          <w:sz w:val="28"/>
          <w:lang w:eastAsia="en-US"/>
        </w:rPr>
        <w:t>50</w:t>
      </w:r>
      <w:r w:rsidR="00860D50">
        <w:rPr>
          <w:rFonts w:ascii="Arial" w:eastAsia="Batang" w:hAnsi="Arial" w:cs="Arial"/>
          <w:b/>
          <w:bCs/>
          <w:sz w:val="28"/>
          <w:lang w:eastAsia="en-US"/>
        </w:rPr>
        <w:t>2263</w:t>
      </w:r>
    </w:p>
    <w:p w14:paraId="5AF4F467" w14:textId="26890E8F" w:rsidR="00F9352F" w:rsidRPr="00145DC1" w:rsidRDefault="00534908" w:rsidP="00F9352F">
      <w:pPr>
        <w:tabs>
          <w:tab w:val="center" w:pos="4536"/>
          <w:tab w:val="right" w:pos="9072"/>
        </w:tabs>
        <w:spacing w:after="0"/>
        <w:rPr>
          <w:rFonts w:ascii="Arial" w:eastAsia="MS Mincho" w:hAnsi="Arial" w:cs="Arial"/>
          <w:b/>
          <w:bCs/>
          <w:sz w:val="28"/>
          <w:lang w:eastAsia="ja-JP"/>
        </w:rPr>
      </w:pPr>
      <w:r>
        <w:rPr>
          <w:rFonts w:ascii="Arial" w:eastAsia="Batang" w:hAnsi="Arial" w:cs="Arial"/>
          <w:b/>
          <w:bCs/>
          <w:sz w:val="28"/>
          <w:lang w:eastAsia="en-US"/>
        </w:rPr>
        <w:t>Wuhan</w:t>
      </w:r>
      <w:r w:rsidR="00E90206">
        <w:rPr>
          <w:rFonts w:ascii="Arial" w:eastAsia="Batang" w:hAnsi="Arial" w:cs="Arial"/>
          <w:b/>
          <w:bCs/>
          <w:sz w:val="28"/>
          <w:lang w:eastAsia="en-US"/>
        </w:rPr>
        <w:t xml:space="preserve">, </w:t>
      </w:r>
      <w:r>
        <w:rPr>
          <w:rFonts w:ascii="Arial" w:eastAsia="Batang" w:hAnsi="Arial" w:cs="Arial"/>
          <w:b/>
          <w:bCs/>
          <w:sz w:val="28"/>
          <w:lang w:eastAsia="en-US"/>
        </w:rPr>
        <w:t>CN</w:t>
      </w:r>
      <w:r w:rsidR="00F9352F" w:rsidRPr="00781F85">
        <w:rPr>
          <w:rFonts w:ascii="Arial" w:eastAsia="Batang" w:hAnsi="Arial" w:cs="Arial"/>
          <w:b/>
          <w:bCs/>
          <w:sz w:val="28"/>
          <w:lang w:eastAsia="en-US"/>
        </w:rPr>
        <w:t xml:space="preserve">, </w:t>
      </w:r>
      <w:r>
        <w:rPr>
          <w:rFonts w:ascii="Arial" w:eastAsia="Batang" w:hAnsi="Arial" w:cs="Arial"/>
          <w:b/>
          <w:bCs/>
          <w:sz w:val="28"/>
          <w:lang w:eastAsia="en-US"/>
        </w:rPr>
        <w:t>Apr</w:t>
      </w:r>
      <w:r w:rsidR="00F9352F" w:rsidRPr="00145DC1">
        <w:rPr>
          <w:rFonts w:ascii="Arial" w:eastAsia="MS Mincho" w:hAnsi="Arial" w:cs="Arial"/>
          <w:b/>
          <w:bCs/>
          <w:sz w:val="28"/>
          <w:lang w:eastAsia="ja-JP"/>
        </w:rPr>
        <w:t xml:space="preserve"> </w:t>
      </w:r>
      <w:r w:rsidR="00E90206">
        <w:rPr>
          <w:rFonts w:ascii="Arial" w:eastAsia="MS Mincho" w:hAnsi="Arial" w:cs="Arial"/>
          <w:b/>
          <w:bCs/>
          <w:sz w:val="28"/>
          <w:lang w:eastAsia="ja-JP"/>
        </w:rPr>
        <w:t>7</w:t>
      </w:r>
      <w:r w:rsidR="00F9352F" w:rsidRPr="00145DC1">
        <w:rPr>
          <w:rFonts w:ascii="Arial" w:eastAsia="MS Mincho" w:hAnsi="Arial" w:cs="Arial"/>
          <w:b/>
          <w:bCs/>
          <w:sz w:val="28"/>
          <w:lang w:eastAsia="ja-JP"/>
        </w:rPr>
        <w:t xml:space="preserve"> </w:t>
      </w:r>
      <w:r w:rsidR="0020015C">
        <w:rPr>
          <w:rFonts w:ascii="Arial" w:eastAsia="Batang" w:hAnsi="Arial" w:cs="Arial"/>
          <w:b/>
          <w:bCs/>
          <w:sz w:val="28"/>
          <w:lang w:eastAsia="en-US"/>
        </w:rPr>
        <w:t xml:space="preserve">– </w:t>
      </w:r>
      <w:r>
        <w:rPr>
          <w:rFonts w:ascii="Arial" w:eastAsia="Batang" w:hAnsi="Arial" w:cs="Arial"/>
          <w:b/>
          <w:bCs/>
          <w:sz w:val="28"/>
          <w:lang w:eastAsia="en-US"/>
        </w:rPr>
        <w:t>11</w:t>
      </w:r>
      <w:r w:rsidR="00F9352F" w:rsidRPr="00145DC1">
        <w:rPr>
          <w:rFonts w:ascii="Arial" w:eastAsia="MS Mincho" w:hAnsi="Arial" w:cs="Arial"/>
          <w:b/>
          <w:bCs/>
          <w:sz w:val="28"/>
          <w:lang w:eastAsia="ja-JP"/>
        </w:rPr>
        <w:t>, 202</w:t>
      </w:r>
      <w:r w:rsidR="00E90206">
        <w:rPr>
          <w:rFonts w:ascii="Arial" w:eastAsia="MS Mincho" w:hAnsi="Arial" w:cs="Arial"/>
          <w:b/>
          <w:bCs/>
          <w:sz w:val="28"/>
          <w:lang w:eastAsia="ja-JP"/>
        </w:rPr>
        <w:t>5</w:t>
      </w:r>
    </w:p>
    <w:bookmarkEnd w:id="0"/>
    <w:p w14:paraId="599F1D6A" w14:textId="77777777" w:rsidR="0036246B" w:rsidRPr="0036246B" w:rsidRDefault="0036246B" w:rsidP="00E90206">
      <w:pPr>
        <w:pStyle w:val="Doc-text2"/>
        <w:rPr>
          <w:lang w:eastAsia="en-US"/>
        </w:rPr>
      </w:pPr>
    </w:p>
    <w:p w14:paraId="377862AB" w14:textId="251BC9A9" w:rsidR="00BE798B" w:rsidRPr="0036246B" w:rsidRDefault="00BE798B" w:rsidP="00BE798B">
      <w:pPr>
        <w:overflowPunct/>
        <w:autoSpaceDE/>
        <w:autoSpaceDN/>
        <w:adjustRightInd/>
        <w:ind w:left="1985" w:hanging="1985"/>
        <w:textAlignment w:val="auto"/>
        <w:rPr>
          <w:rFonts w:ascii="Arial" w:eastAsia="MS Mincho" w:hAnsi="Arial" w:cs="Arial"/>
          <w:b/>
          <w:bCs/>
          <w:sz w:val="28"/>
          <w:lang w:eastAsia="ja-JP"/>
        </w:rPr>
      </w:pPr>
      <w:r w:rsidRPr="0036246B">
        <w:rPr>
          <w:rFonts w:ascii="Arial" w:eastAsia="MS Mincho" w:hAnsi="Arial" w:cs="Arial"/>
          <w:b/>
          <w:bCs/>
          <w:sz w:val="28"/>
          <w:lang w:eastAsia="ja-JP"/>
        </w:rPr>
        <w:t>Title:</w:t>
      </w:r>
      <w:r w:rsidRPr="0036246B">
        <w:rPr>
          <w:rFonts w:ascii="Arial" w:eastAsia="MS Mincho" w:hAnsi="Arial" w:cs="Arial"/>
          <w:b/>
          <w:bCs/>
          <w:sz w:val="28"/>
          <w:lang w:eastAsia="ja-JP"/>
        </w:rPr>
        <w:tab/>
      </w:r>
      <w:r w:rsidRPr="00BE798B">
        <w:rPr>
          <w:rFonts w:ascii="Arial" w:eastAsia="MS Mincho" w:hAnsi="Arial" w:cs="Arial"/>
          <w:bCs/>
          <w:sz w:val="28"/>
          <w:lang w:eastAsia="ja-JP"/>
        </w:rPr>
        <w:t xml:space="preserve">LCM for UE-sided </w:t>
      </w:r>
      <w:r w:rsidR="00E0597C">
        <w:rPr>
          <w:rFonts w:ascii="Arial" w:eastAsia="MS Mincho" w:hAnsi="Arial" w:cs="Arial"/>
          <w:bCs/>
          <w:sz w:val="28"/>
          <w:lang w:eastAsia="ja-JP"/>
        </w:rPr>
        <w:t>M</w:t>
      </w:r>
      <w:r w:rsidRPr="00BE798B">
        <w:rPr>
          <w:rFonts w:ascii="Arial" w:eastAsia="MS Mincho" w:hAnsi="Arial" w:cs="Arial"/>
          <w:bCs/>
          <w:sz w:val="28"/>
          <w:lang w:eastAsia="ja-JP"/>
        </w:rPr>
        <w:t>odel for BM</w:t>
      </w:r>
    </w:p>
    <w:p w14:paraId="48383E87" w14:textId="3989CB37" w:rsidR="0036246B" w:rsidRPr="0036246B" w:rsidRDefault="0036246B" w:rsidP="0036246B">
      <w:pPr>
        <w:tabs>
          <w:tab w:val="left" w:pos="1985"/>
        </w:tabs>
        <w:overflowPunct/>
        <w:autoSpaceDE/>
        <w:autoSpaceDN/>
        <w:adjustRightInd/>
        <w:spacing w:after="120"/>
        <w:textAlignment w:val="auto"/>
        <w:rPr>
          <w:rFonts w:ascii="Arial" w:eastAsia="MS Mincho" w:hAnsi="Arial" w:cs="Arial"/>
          <w:b/>
          <w:bCs/>
          <w:sz w:val="28"/>
          <w:lang w:eastAsia="ja-JP"/>
        </w:rPr>
      </w:pPr>
      <w:r w:rsidRPr="0036246B">
        <w:rPr>
          <w:rFonts w:ascii="Arial" w:eastAsia="MS Mincho" w:hAnsi="Arial" w:cs="Arial"/>
          <w:b/>
          <w:bCs/>
          <w:sz w:val="28"/>
          <w:lang w:eastAsia="ja-JP"/>
        </w:rPr>
        <w:t>Agenda item:</w:t>
      </w:r>
      <w:r w:rsidRPr="0036246B">
        <w:rPr>
          <w:rFonts w:ascii="Arial" w:eastAsia="MS Mincho" w:hAnsi="Arial" w:cs="Arial"/>
          <w:b/>
          <w:bCs/>
          <w:sz w:val="28"/>
          <w:lang w:eastAsia="ja-JP"/>
        </w:rPr>
        <w:tab/>
      </w:r>
      <w:r w:rsidRPr="0036246B">
        <w:rPr>
          <w:rFonts w:ascii="Arial" w:eastAsia="MS Mincho" w:hAnsi="Arial" w:cs="Arial"/>
          <w:bCs/>
          <w:sz w:val="28"/>
          <w:lang w:eastAsia="ja-JP"/>
        </w:rPr>
        <w:t>8.1.</w:t>
      </w:r>
      <w:r w:rsidRPr="00BE798B">
        <w:rPr>
          <w:rFonts w:ascii="Arial" w:eastAsia="MS Mincho" w:hAnsi="Arial" w:cs="Arial"/>
          <w:bCs/>
          <w:sz w:val="28"/>
          <w:lang w:eastAsia="ja-JP"/>
        </w:rPr>
        <w:t>2.2</w:t>
      </w:r>
    </w:p>
    <w:p w14:paraId="30C3A4C6" w14:textId="27373CE6" w:rsidR="0036246B" w:rsidRPr="0036246B" w:rsidRDefault="0036246B" w:rsidP="0036246B">
      <w:pPr>
        <w:tabs>
          <w:tab w:val="left" w:pos="1985"/>
        </w:tabs>
        <w:overflowPunct/>
        <w:autoSpaceDE/>
        <w:adjustRightInd/>
        <w:ind w:left="1985" w:hanging="1985"/>
        <w:textAlignment w:val="auto"/>
        <w:rPr>
          <w:rFonts w:ascii="Arial" w:eastAsia="MS Mincho" w:hAnsi="Arial" w:cs="Arial"/>
          <w:b/>
          <w:bCs/>
          <w:sz w:val="28"/>
          <w:lang w:eastAsia="ja-JP"/>
        </w:rPr>
      </w:pPr>
      <w:r w:rsidRPr="0036246B">
        <w:rPr>
          <w:rFonts w:ascii="Arial" w:eastAsia="MS Mincho" w:hAnsi="Arial" w:cs="Arial"/>
          <w:b/>
          <w:bCs/>
          <w:sz w:val="28"/>
          <w:lang w:eastAsia="ja-JP"/>
        </w:rPr>
        <w:t>Source:</w:t>
      </w:r>
      <w:r w:rsidRPr="0036246B">
        <w:rPr>
          <w:rFonts w:ascii="Arial" w:eastAsia="MS Mincho" w:hAnsi="Arial" w:cs="Arial"/>
          <w:b/>
          <w:bCs/>
          <w:sz w:val="28"/>
          <w:lang w:eastAsia="ja-JP"/>
        </w:rPr>
        <w:tab/>
      </w:r>
      <w:r w:rsidRPr="00BE798B">
        <w:rPr>
          <w:rFonts w:ascii="Arial" w:eastAsia="MS Mincho" w:hAnsi="Arial" w:cs="Arial"/>
          <w:bCs/>
          <w:sz w:val="28"/>
          <w:lang w:eastAsia="ja-JP"/>
        </w:rPr>
        <w:t>Google</w:t>
      </w:r>
    </w:p>
    <w:p w14:paraId="0E9F2CC8" w14:textId="77777777" w:rsidR="0036246B" w:rsidRPr="0036246B" w:rsidRDefault="0036246B" w:rsidP="0036246B">
      <w:pPr>
        <w:overflowPunct/>
        <w:autoSpaceDE/>
        <w:autoSpaceDN/>
        <w:adjustRightInd/>
        <w:ind w:left="1985" w:hanging="1985"/>
        <w:textAlignment w:val="auto"/>
        <w:rPr>
          <w:rFonts w:ascii="Arial" w:eastAsia="MS Mincho" w:hAnsi="Arial" w:cs="Arial"/>
          <w:b/>
          <w:bCs/>
          <w:sz w:val="28"/>
          <w:lang w:eastAsia="ja-JP"/>
        </w:rPr>
      </w:pPr>
      <w:r w:rsidRPr="0036246B">
        <w:rPr>
          <w:rFonts w:ascii="Arial" w:eastAsia="MS Mincho" w:hAnsi="Arial" w:cs="Arial"/>
          <w:b/>
          <w:bCs/>
          <w:sz w:val="28"/>
          <w:lang w:eastAsia="ja-JP"/>
        </w:rPr>
        <w:t>Document for:</w:t>
      </w:r>
      <w:r w:rsidRPr="0036246B">
        <w:rPr>
          <w:rFonts w:ascii="Arial" w:eastAsia="MS Mincho" w:hAnsi="Arial" w:cs="Arial"/>
          <w:b/>
          <w:bCs/>
          <w:sz w:val="28"/>
          <w:lang w:eastAsia="ja-JP"/>
        </w:rPr>
        <w:tab/>
      </w:r>
      <w:r w:rsidRPr="0036246B">
        <w:rPr>
          <w:rFonts w:ascii="Arial" w:eastAsia="MS Mincho" w:hAnsi="Arial" w:cs="Arial"/>
          <w:bCs/>
          <w:sz w:val="28"/>
          <w:lang w:eastAsia="ja-JP"/>
        </w:rPr>
        <w:t>Discussion and Decision</w:t>
      </w:r>
    </w:p>
    <w:p w14:paraId="72DEFBD9" w14:textId="7858E2B0" w:rsidR="00B97703" w:rsidRDefault="000F6242" w:rsidP="00B97703">
      <w:pPr>
        <w:pStyle w:val="Heading1"/>
      </w:pPr>
      <w:r>
        <w:t>1</w:t>
      </w:r>
      <w:r w:rsidR="0036246B">
        <w:t xml:space="preserve"> Introduction</w:t>
      </w:r>
    </w:p>
    <w:p w14:paraId="6B1BAC9F" w14:textId="4AF430DF" w:rsidR="0013428F" w:rsidRDefault="0013428F" w:rsidP="0013428F">
      <w:pPr>
        <w:rPr>
          <w:lang w:eastAsia="zh-CN"/>
        </w:rPr>
      </w:pPr>
      <w:r>
        <w:rPr>
          <w:lang w:eastAsia="zh-CN"/>
        </w:rPr>
        <w:t>In RAN2#</w:t>
      </w:r>
      <w:r w:rsidR="00E2068C">
        <w:rPr>
          <w:lang w:eastAsia="zh-CN"/>
        </w:rPr>
        <w:t xml:space="preserve">129 </w:t>
      </w:r>
      <w:r>
        <w:rPr>
          <w:lang w:eastAsia="zh-CN"/>
        </w:rPr>
        <w:t>meeting, there were some agreements and FFSs</w:t>
      </w:r>
      <w:r w:rsidR="00631F24">
        <w:rPr>
          <w:lang w:eastAsia="zh-CN"/>
        </w:rPr>
        <w:t xml:space="preserve"> on the LCM</w:t>
      </w:r>
      <w:r>
        <w:rPr>
          <w:lang w:eastAsia="zh-CN"/>
        </w:rPr>
        <w:t xml:space="preserve"> for UE-sided model for BM case. </w:t>
      </w:r>
    </w:p>
    <w:p w14:paraId="72E5B30E" w14:textId="77777777" w:rsidR="007F1708" w:rsidRPr="00A81732" w:rsidRDefault="007F1708" w:rsidP="0020246D">
      <w:pPr>
        <w:pStyle w:val="Doc-text2"/>
        <w:pBdr>
          <w:top w:val="single" w:sz="4" w:space="1" w:color="auto"/>
          <w:left w:val="single" w:sz="4" w:space="1" w:color="auto"/>
          <w:bottom w:val="single" w:sz="4" w:space="1" w:color="auto"/>
          <w:right w:val="single" w:sz="4" w:space="1" w:color="auto"/>
        </w:pBdr>
        <w:tabs>
          <w:tab w:val="clear" w:pos="1622"/>
        </w:tabs>
        <w:rPr>
          <w:b/>
          <w:bCs/>
        </w:rPr>
      </w:pPr>
      <w:r w:rsidRPr="00A81732">
        <w:rPr>
          <w:b/>
          <w:bCs/>
        </w:rPr>
        <w:t>Agreements</w:t>
      </w:r>
    </w:p>
    <w:p w14:paraId="711316B2" w14:textId="77777777" w:rsidR="007F1708" w:rsidRPr="00DE3069" w:rsidRDefault="007F1708" w:rsidP="007F1708">
      <w:pPr>
        <w:pStyle w:val="ListParagraph"/>
        <w:numPr>
          <w:ilvl w:val="0"/>
          <w:numId w:val="31"/>
        </w:numPr>
        <w:pBdr>
          <w:top w:val="single" w:sz="4" w:space="1" w:color="auto"/>
          <w:left w:val="single" w:sz="4" w:space="1" w:color="auto"/>
          <w:bottom w:val="single" w:sz="4" w:space="1" w:color="auto"/>
          <w:right w:val="single" w:sz="4" w:space="1" w:color="auto"/>
        </w:pBdr>
        <w:overflowPunct/>
        <w:autoSpaceDE/>
        <w:autoSpaceDN/>
        <w:adjustRightInd/>
        <w:spacing w:after="0"/>
        <w:contextualSpacing w:val="0"/>
        <w:textAlignment w:val="auto"/>
        <w:rPr>
          <w:rFonts w:ascii="Arial" w:eastAsia="MS Mincho" w:hAnsi="Arial"/>
          <w:bCs/>
          <w:szCs w:val="24"/>
        </w:rPr>
      </w:pPr>
      <w:r w:rsidRPr="00864499">
        <w:rPr>
          <w:rFonts w:ascii="Arial" w:eastAsia="MS Mincho" w:hAnsi="Arial"/>
          <w:bCs/>
          <w:szCs w:val="24"/>
        </w:rPr>
        <w:t xml:space="preserve">Inference configuration/parameters </w:t>
      </w:r>
      <w:r w:rsidRPr="00DE3069">
        <w:rPr>
          <w:rFonts w:ascii="Arial" w:eastAsia="MS Mincho" w:hAnsi="Arial"/>
          <w:bCs/>
          <w:szCs w:val="24"/>
        </w:rPr>
        <w:t xml:space="preserve">can be signalled in step 3 and/or Inference configuration can be signalled in step 5 (i.e. option a and option b from RAN1).   </w:t>
      </w:r>
    </w:p>
    <w:p w14:paraId="045A9930" w14:textId="77777777" w:rsidR="007F1708" w:rsidRPr="00DE3069" w:rsidRDefault="007F1708" w:rsidP="007F1708">
      <w:pPr>
        <w:pStyle w:val="Agreement"/>
        <w:numPr>
          <w:ilvl w:val="0"/>
          <w:numId w:val="31"/>
        </w:numPr>
        <w:pBdr>
          <w:top w:val="single" w:sz="4" w:space="1" w:color="auto"/>
          <w:left w:val="single" w:sz="4" w:space="1" w:color="auto"/>
          <w:bottom w:val="single" w:sz="4" w:space="1" w:color="auto"/>
          <w:right w:val="single" w:sz="4" w:space="1" w:color="auto"/>
        </w:pBdr>
        <w:rPr>
          <w:b w:val="0"/>
          <w:bCs/>
        </w:rPr>
      </w:pPr>
      <w:r w:rsidRPr="00DE3069">
        <w:rPr>
          <w:b w:val="0"/>
          <w:bCs/>
        </w:rPr>
        <w:t xml:space="preserve">The full inference configuration is sent in CSI-ReportConfig. </w:t>
      </w:r>
    </w:p>
    <w:p w14:paraId="22B376EB" w14:textId="77777777" w:rsidR="007F1708" w:rsidRPr="00DE3069" w:rsidRDefault="007F1708" w:rsidP="007F1708">
      <w:pPr>
        <w:pStyle w:val="Agreement"/>
        <w:numPr>
          <w:ilvl w:val="0"/>
          <w:numId w:val="31"/>
        </w:numPr>
        <w:pBdr>
          <w:top w:val="single" w:sz="4" w:space="1" w:color="auto"/>
          <w:left w:val="single" w:sz="4" w:space="1" w:color="auto"/>
          <w:bottom w:val="single" w:sz="4" w:space="1" w:color="auto"/>
          <w:right w:val="single" w:sz="4" w:space="1" w:color="auto"/>
        </w:pBdr>
        <w:rPr>
          <w:b w:val="0"/>
          <w:bCs/>
        </w:rPr>
      </w:pPr>
      <w:r w:rsidRPr="00DE3069">
        <w:rPr>
          <w:b w:val="0"/>
          <w:bCs/>
        </w:rPr>
        <w:t>Upon receiving a full inference configuration, the UE sends the initial applicability report in RRCReconfigurationComplete. UAI can be sent to update applicability.</w:t>
      </w:r>
    </w:p>
    <w:p w14:paraId="59E5DCDA" w14:textId="77777777" w:rsidR="007F1708" w:rsidRPr="00DE3069" w:rsidRDefault="007F1708" w:rsidP="007F1708">
      <w:pPr>
        <w:pStyle w:val="Agreement"/>
        <w:numPr>
          <w:ilvl w:val="0"/>
          <w:numId w:val="31"/>
        </w:numPr>
        <w:pBdr>
          <w:top w:val="single" w:sz="4" w:space="1" w:color="auto"/>
          <w:left w:val="single" w:sz="4" w:space="1" w:color="auto"/>
          <w:bottom w:val="single" w:sz="4" w:space="1" w:color="auto"/>
          <w:right w:val="single" w:sz="4" w:space="1" w:color="auto"/>
        </w:pBdr>
        <w:rPr>
          <w:b w:val="0"/>
          <w:bCs/>
        </w:rPr>
      </w:pPr>
      <w:r w:rsidRPr="00DE3069">
        <w:rPr>
          <w:b w:val="0"/>
          <w:bCs/>
        </w:rPr>
        <w:t>FFS signaling details for option B (e.g. whether it is signaling in CSI-Report Config or otherconfig)</w:t>
      </w:r>
    </w:p>
    <w:p w14:paraId="2ADEE510" w14:textId="77777777" w:rsidR="007F1708" w:rsidRPr="00DE3069" w:rsidRDefault="007F1708" w:rsidP="007F1708">
      <w:pPr>
        <w:pStyle w:val="Comments"/>
        <w:rPr>
          <w:i w:val="0"/>
          <w:iCs/>
          <w:lang w:val="en-US"/>
        </w:rPr>
      </w:pPr>
    </w:p>
    <w:tbl>
      <w:tblPr>
        <w:tblStyle w:val="TableGrid"/>
        <w:tblW w:w="8730" w:type="dxa"/>
        <w:tblInd w:w="1165" w:type="dxa"/>
        <w:tblLook w:val="04A0" w:firstRow="1" w:lastRow="0" w:firstColumn="1" w:lastColumn="0" w:noHBand="0" w:noVBand="1"/>
      </w:tblPr>
      <w:tblGrid>
        <w:gridCol w:w="8730"/>
      </w:tblGrid>
      <w:tr w:rsidR="007F1708" w14:paraId="5DEB24F9" w14:textId="77777777" w:rsidTr="00633B42">
        <w:tc>
          <w:tcPr>
            <w:tcW w:w="8730" w:type="dxa"/>
          </w:tcPr>
          <w:p w14:paraId="440655FA" w14:textId="77777777" w:rsidR="007F1708" w:rsidRPr="00DE3069" w:rsidRDefault="007F1708" w:rsidP="004B0D40">
            <w:pPr>
              <w:pStyle w:val="Agreement"/>
              <w:numPr>
                <w:ilvl w:val="0"/>
                <w:numId w:val="0"/>
              </w:numPr>
              <w:ind w:left="360" w:hanging="360"/>
            </w:pPr>
            <w:r w:rsidRPr="00DE3069">
              <w:t>Agreements applicability reporting and management</w:t>
            </w:r>
          </w:p>
          <w:p w14:paraId="421D3661" w14:textId="77777777" w:rsidR="007F1708" w:rsidRPr="007D01F4" w:rsidRDefault="007F1708" w:rsidP="004B0D40">
            <w:pPr>
              <w:pStyle w:val="Agreement"/>
              <w:ind w:left="360"/>
              <w:rPr>
                <w:b w:val="0"/>
                <w:bCs/>
              </w:rPr>
            </w:pPr>
            <w:r w:rsidRPr="00DE3069">
              <w:rPr>
                <w:b w:val="0"/>
                <w:bCs/>
              </w:rPr>
              <w:t xml:space="preserve">Support the explicit reporting of applicability/inapplicability in initial report and subsequent reporting it reports only applicability it changed.   </w:t>
            </w:r>
            <w:r w:rsidRPr="007D01F4">
              <w:rPr>
                <w:b w:val="0"/>
                <w:bCs/>
              </w:rPr>
              <w:t xml:space="preserve">FFS if we report explicit cause </w:t>
            </w:r>
          </w:p>
          <w:p w14:paraId="75BC09EA" w14:textId="77777777" w:rsidR="007F1708" w:rsidRPr="007D01F4" w:rsidRDefault="007F1708" w:rsidP="004B0D40">
            <w:pPr>
              <w:pStyle w:val="Agreement"/>
              <w:ind w:left="360"/>
              <w:rPr>
                <w:b w:val="0"/>
                <w:bCs/>
              </w:rPr>
            </w:pPr>
            <w:r w:rsidRPr="007D01F4">
              <w:rPr>
                <w:b w:val="0"/>
                <w:bCs/>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p w14:paraId="2703F56D" w14:textId="093B18CA" w:rsidR="007F1708" w:rsidRDefault="007F1708" w:rsidP="007D01F4">
            <w:pPr>
              <w:pStyle w:val="Agreement"/>
              <w:ind w:left="360"/>
              <w:rPr>
                <w:i/>
                <w:iCs/>
              </w:rPr>
            </w:pPr>
            <w:r w:rsidRPr="007D01F4">
              <w:rPr>
                <w:b w:val="0"/>
                <w:bCs/>
              </w:rPr>
              <w:t xml:space="preserve">The provided periodic CSI configuration should be consistent with reported UE capabilities </w:t>
            </w:r>
          </w:p>
        </w:tc>
      </w:tr>
    </w:tbl>
    <w:p w14:paraId="7BD03A60" w14:textId="77777777" w:rsidR="00690270" w:rsidRDefault="00690270" w:rsidP="00690270">
      <w:pPr>
        <w:spacing w:before="240"/>
        <w:rPr>
          <w:lang w:eastAsia="zh-CN"/>
        </w:rPr>
      </w:pPr>
      <w:r>
        <w:rPr>
          <w:lang w:eastAsia="zh-CN"/>
        </w:rPr>
        <w:t xml:space="preserve">In RAN2#129 meeting, there were some agreements and FFSs for </w:t>
      </w:r>
      <w:r w:rsidRPr="0099667B">
        <w:rPr>
          <w:lang w:eastAsia="zh-CN"/>
        </w:rPr>
        <w:t>UE-side data collection</w:t>
      </w:r>
      <w:r>
        <w:rPr>
          <w:lang w:eastAsia="zh-CN"/>
        </w:rPr>
        <w:t xml:space="preserve">. </w:t>
      </w:r>
    </w:p>
    <w:tbl>
      <w:tblPr>
        <w:tblStyle w:val="TableGrid"/>
        <w:tblW w:w="8730" w:type="dxa"/>
        <w:tblInd w:w="1165" w:type="dxa"/>
        <w:tblLook w:val="04A0" w:firstRow="1" w:lastRow="0" w:firstColumn="1" w:lastColumn="0" w:noHBand="0" w:noVBand="1"/>
      </w:tblPr>
      <w:tblGrid>
        <w:gridCol w:w="8730"/>
      </w:tblGrid>
      <w:tr w:rsidR="00690270" w14:paraId="5367BF1F" w14:textId="77777777" w:rsidTr="00633B42">
        <w:tc>
          <w:tcPr>
            <w:tcW w:w="8730" w:type="dxa"/>
          </w:tcPr>
          <w:p w14:paraId="7E5C693C" w14:textId="77777777" w:rsidR="00690270" w:rsidRDefault="00690270" w:rsidP="004B0D40">
            <w:pPr>
              <w:pStyle w:val="Agreement"/>
              <w:numPr>
                <w:ilvl w:val="0"/>
                <w:numId w:val="0"/>
              </w:numPr>
            </w:pPr>
            <w:r>
              <w:t>Agreements</w:t>
            </w:r>
          </w:p>
          <w:p w14:paraId="3A3E2672" w14:textId="77777777" w:rsidR="00690270" w:rsidRPr="008569C1" w:rsidRDefault="00690270" w:rsidP="004B0D40">
            <w:pPr>
              <w:pStyle w:val="Agreement"/>
              <w:numPr>
                <w:ilvl w:val="0"/>
                <w:numId w:val="0"/>
              </w:numPr>
              <w:ind w:left="360" w:hanging="360"/>
            </w:pPr>
            <w:r w:rsidRPr="008569C1">
              <w:t xml:space="preserve">Extend the following agreements on data collection configuration in AI/ML based beam management to general UE-side data collection configuration: </w:t>
            </w:r>
          </w:p>
          <w:p w14:paraId="7D55C2CB" w14:textId="77777777" w:rsidR="00690270" w:rsidRPr="00690270" w:rsidRDefault="00690270" w:rsidP="00690270">
            <w:pPr>
              <w:pStyle w:val="Agreement"/>
              <w:numPr>
                <w:ilvl w:val="0"/>
                <w:numId w:val="41"/>
              </w:numPr>
              <w:ind w:left="720"/>
              <w:rPr>
                <w:b w:val="0"/>
                <w:bCs/>
              </w:rPr>
            </w:pPr>
            <w:r w:rsidRPr="00D16049">
              <w:rPr>
                <w:b w:val="0"/>
                <w:bCs/>
              </w:rPr>
              <w:t xml:space="preserve">Data collection related </w:t>
            </w:r>
            <w:r w:rsidRPr="00690270">
              <w:rPr>
                <w:b w:val="0"/>
                <w:bCs/>
              </w:rPr>
              <w:t>configuration(s) and associated ID(s)(if needed) can be included in training data collection configuration.</w:t>
            </w:r>
          </w:p>
          <w:p w14:paraId="5E1EEEB7" w14:textId="77777777" w:rsidR="00690270" w:rsidRPr="00690270" w:rsidRDefault="00690270" w:rsidP="00690270">
            <w:pPr>
              <w:pStyle w:val="Agreement"/>
              <w:numPr>
                <w:ilvl w:val="0"/>
                <w:numId w:val="41"/>
              </w:numPr>
              <w:ind w:left="720"/>
              <w:rPr>
                <w:b w:val="0"/>
                <w:bCs/>
              </w:rPr>
            </w:pPr>
            <w:r w:rsidRPr="00690270">
              <w:rPr>
                <w:b w:val="0"/>
                <w:bCs/>
              </w:rPr>
              <w:t>For data collection configuration UE-side model training, the UE can send a request for data collection (e.g. start/stop).  FFS whether a suggested data collection configuration/associated IDs (if specified)/parameters can be provided to the network.</w:t>
            </w:r>
          </w:p>
          <w:p w14:paraId="63B8BDD1" w14:textId="77777777" w:rsidR="00690270" w:rsidRPr="00D16049" w:rsidRDefault="00690270" w:rsidP="00690270">
            <w:pPr>
              <w:pStyle w:val="Agreement"/>
              <w:numPr>
                <w:ilvl w:val="0"/>
                <w:numId w:val="41"/>
              </w:numPr>
              <w:ind w:left="720"/>
              <w:rPr>
                <w:b w:val="0"/>
                <w:bCs/>
              </w:rPr>
            </w:pPr>
            <w:r w:rsidRPr="00D16049">
              <w:rPr>
                <w:b w:val="0"/>
                <w:bCs/>
              </w:rPr>
              <w:t xml:space="preserve">The network can provide </w:t>
            </w:r>
            <w:r>
              <w:rPr>
                <w:b w:val="0"/>
                <w:bCs/>
              </w:rPr>
              <w:t xml:space="preserve">or release </w:t>
            </w:r>
            <w:r w:rsidRPr="00D16049">
              <w:rPr>
                <w:b w:val="0"/>
                <w:bCs/>
              </w:rPr>
              <w:t xml:space="preserve">the data collection configuration (at any point in time), with or without UE request.   </w:t>
            </w:r>
          </w:p>
          <w:p w14:paraId="4156E4E0" w14:textId="77777777" w:rsidR="00690270" w:rsidRPr="00D16049" w:rsidRDefault="00690270" w:rsidP="00690270">
            <w:pPr>
              <w:pStyle w:val="Agreement"/>
              <w:numPr>
                <w:ilvl w:val="0"/>
                <w:numId w:val="41"/>
              </w:numPr>
              <w:ind w:left="720"/>
              <w:rPr>
                <w:b w:val="0"/>
                <w:bCs/>
              </w:rPr>
            </w:pPr>
            <w:r w:rsidRPr="00D16049">
              <w:rPr>
                <w:b w:val="0"/>
                <w:bCs/>
              </w:rPr>
              <w:t>The following methods for network control of the initiation and configuration for data collection:</w:t>
            </w:r>
          </w:p>
          <w:p w14:paraId="3D973912" w14:textId="77777777" w:rsidR="00690270" w:rsidRPr="00D16049" w:rsidRDefault="00690270" w:rsidP="00690270">
            <w:pPr>
              <w:pStyle w:val="Doc-text2"/>
              <w:numPr>
                <w:ilvl w:val="1"/>
                <w:numId w:val="41"/>
              </w:numPr>
              <w:ind w:left="1440"/>
              <w:rPr>
                <w:bCs/>
              </w:rPr>
            </w:pPr>
            <w:r w:rsidRPr="00D16049">
              <w:rPr>
                <w:bCs/>
              </w:rPr>
              <w:t>The network can decide when to start/stop the data collection and send configuration.</w:t>
            </w:r>
          </w:p>
          <w:p w14:paraId="45BBDF06" w14:textId="14C542C9" w:rsidR="00690270" w:rsidRDefault="00690270" w:rsidP="00633B42">
            <w:pPr>
              <w:pStyle w:val="Doc-text2"/>
              <w:numPr>
                <w:ilvl w:val="1"/>
                <w:numId w:val="41"/>
              </w:numPr>
              <w:ind w:left="1440"/>
            </w:pPr>
            <w:r w:rsidRPr="00D16049">
              <w:rPr>
                <w:bCs/>
              </w:rPr>
              <w:t>The network can configure whether UE is allowed to initiate request for data collection</w:t>
            </w:r>
            <w:r>
              <w:rPr>
                <w:bCs/>
              </w:rPr>
              <w:t xml:space="preserve"> (e.g. start/stop indication)</w:t>
            </w:r>
            <w:r w:rsidRPr="00D16049">
              <w:rPr>
                <w:bCs/>
              </w:rPr>
              <w:t>.</w:t>
            </w:r>
          </w:p>
        </w:tc>
      </w:tr>
    </w:tbl>
    <w:p w14:paraId="09BA2D06" w14:textId="14D74597" w:rsidR="00766089" w:rsidRPr="007D01F4" w:rsidRDefault="004D15C4" w:rsidP="007D01F4">
      <w:pPr>
        <w:pStyle w:val="Doc-text2"/>
        <w:spacing w:before="240"/>
        <w:ind w:left="1619" w:hanging="1619"/>
        <w:rPr>
          <w:rFonts w:ascii="Times New Roman" w:eastAsia="SimSun" w:hAnsi="Times New Roman"/>
          <w:bCs/>
          <w:szCs w:val="20"/>
        </w:rPr>
      </w:pPr>
      <w:r>
        <w:rPr>
          <w:rFonts w:ascii="Times New Roman" w:eastAsia="SimSun" w:hAnsi="Times New Roman"/>
          <w:bCs/>
          <w:szCs w:val="20"/>
        </w:rPr>
        <w:t>I</w:t>
      </w:r>
      <w:r w:rsidR="0031116F" w:rsidRPr="007D01F4">
        <w:rPr>
          <w:rFonts w:ascii="Times New Roman" w:eastAsia="SimSun" w:hAnsi="Times New Roman"/>
          <w:bCs/>
          <w:szCs w:val="20"/>
        </w:rPr>
        <w:t xml:space="preserve">n this paper, we </w:t>
      </w:r>
      <w:r w:rsidR="00A06AB0" w:rsidRPr="007D01F4">
        <w:rPr>
          <w:rFonts w:ascii="Times New Roman" w:eastAsia="SimSun" w:hAnsi="Times New Roman"/>
          <w:bCs/>
          <w:szCs w:val="20"/>
        </w:rPr>
        <w:t xml:space="preserve">further </w:t>
      </w:r>
      <w:r w:rsidR="0031116F" w:rsidRPr="007D01F4">
        <w:rPr>
          <w:rFonts w:ascii="Times New Roman" w:eastAsia="SimSun" w:hAnsi="Times New Roman"/>
          <w:bCs/>
          <w:szCs w:val="20"/>
        </w:rPr>
        <w:t xml:space="preserve">discuss the remaining FFSs </w:t>
      </w:r>
      <w:r w:rsidR="0046726B" w:rsidRPr="007D01F4">
        <w:rPr>
          <w:rFonts w:ascii="Times New Roman" w:eastAsia="SimSun" w:hAnsi="Times New Roman"/>
          <w:bCs/>
          <w:szCs w:val="20"/>
        </w:rPr>
        <w:t xml:space="preserve">and </w:t>
      </w:r>
      <w:r w:rsidR="0071585F" w:rsidRPr="007D01F4">
        <w:rPr>
          <w:rFonts w:ascii="Times New Roman" w:eastAsia="SimSun" w:hAnsi="Times New Roman"/>
          <w:bCs/>
          <w:szCs w:val="20"/>
        </w:rPr>
        <w:t>give</w:t>
      </w:r>
      <w:r w:rsidR="005F397F" w:rsidRPr="007D01F4">
        <w:rPr>
          <w:rFonts w:ascii="Times New Roman" w:eastAsia="SimSun" w:hAnsi="Times New Roman"/>
          <w:bCs/>
          <w:szCs w:val="20"/>
        </w:rPr>
        <w:t xml:space="preserve"> related</w:t>
      </w:r>
      <w:r w:rsidR="0071585F" w:rsidRPr="007D01F4">
        <w:rPr>
          <w:rFonts w:ascii="Times New Roman" w:eastAsia="SimSun" w:hAnsi="Times New Roman"/>
          <w:bCs/>
          <w:szCs w:val="20"/>
        </w:rPr>
        <w:t xml:space="preserve"> considerations.</w:t>
      </w:r>
    </w:p>
    <w:p w14:paraId="6DCABD9E" w14:textId="64F1538B" w:rsidR="00B97703" w:rsidRDefault="001C7083" w:rsidP="000F6242">
      <w:pPr>
        <w:pStyle w:val="Heading1"/>
      </w:pPr>
      <w:r>
        <w:lastRenderedPageBreak/>
        <w:t>2 Discussion</w:t>
      </w:r>
    </w:p>
    <w:p w14:paraId="610405B3" w14:textId="77777777" w:rsidR="001C0592" w:rsidRPr="001C0592" w:rsidRDefault="001C0592" w:rsidP="001C0592">
      <w:pPr>
        <w:pStyle w:val="ListParagraph"/>
        <w:keepNext/>
        <w:keepLines/>
        <w:numPr>
          <w:ilvl w:val="0"/>
          <w:numId w:val="34"/>
        </w:numPr>
        <w:spacing w:before="180"/>
        <w:contextualSpacing w:val="0"/>
        <w:outlineLvl w:val="1"/>
        <w:rPr>
          <w:rFonts w:ascii="Arial" w:hAnsi="Arial"/>
          <w:vanish/>
          <w:sz w:val="32"/>
        </w:rPr>
      </w:pPr>
    </w:p>
    <w:p w14:paraId="3B5FFAAA" w14:textId="77777777" w:rsidR="001C0592" w:rsidRPr="001C0592" w:rsidRDefault="001C0592" w:rsidP="001C0592">
      <w:pPr>
        <w:pStyle w:val="ListParagraph"/>
        <w:keepNext/>
        <w:keepLines/>
        <w:numPr>
          <w:ilvl w:val="0"/>
          <w:numId w:val="34"/>
        </w:numPr>
        <w:spacing w:before="180"/>
        <w:contextualSpacing w:val="0"/>
        <w:outlineLvl w:val="1"/>
        <w:rPr>
          <w:rFonts w:ascii="Arial" w:hAnsi="Arial"/>
          <w:vanish/>
          <w:sz w:val="32"/>
        </w:rPr>
      </w:pPr>
    </w:p>
    <w:p w14:paraId="191EDF4E" w14:textId="509013C7" w:rsidR="001C0592" w:rsidRPr="001C0592" w:rsidRDefault="001C0592" w:rsidP="006775B1">
      <w:pPr>
        <w:pStyle w:val="Heading2"/>
        <w:numPr>
          <w:ilvl w:val="1"/>
          <w:numId w:val="34"/>
        </w:numPr>
        <w:ind w:hanging="792"/>
      </w:pPr>
      <w:r>
        <w:t xml:space="preserve">Applicability </w:t>
      </w:r>
      <w:r w:rsidR="003E58BB">
        <w:t>R</w:t>
      </w:r>
      <w:r>
        <w:t>eporting</w:t>
      </w:r>
    </w:p>
    <w:p w14:paraId="3C34A3AA" w14:textId="77777777" w:rsidR="0033711C" w:rsidRPr="0033711C" w:rsidRDefault="0033711C" w:rsidP="0033711C">
      <w:pPr>
        <w:pStyle w:val="ListParagraph"/>
        <w:keepNext/>
        <w:keepLines/>
        <w:numPr>
          <w:ilvl w:val="0"/>
          <w:numId w:val="34"/>
        </w:numPr>
        <w:spacing w:before="180"/>
        <w:contextualSpacing w:val="0"/>
        <w:outlineLvl w:val="1"/>
        <w:rPr>
          <w:rFonts w:ascii="Arial" w:hAnsi="Arial"/>
          <w:vanish/>
          <w:sz w:val="32"/>
        </w:rPr>
      </w:pPr>
    </w:p>
    <w:p w14:paraId="684ED2C4" w14:textId="77777777" w:rsidR="0033711C" w:rsidRPr="0033711C" w:rsidRDefault="0033711C" w:rsidP="0033711C">
      <w:pPr>
        <w:pStyle w:val="ListParagraph"/>
        <w:keepNext/>
        <w:keepLines/>
        <w:numPr>
          <w:ilvl w:val="0"/>
          <w:numId w:val="34"/>
        </w:numPr>
        <w:spacing w:before="180"/>
        <w:contextualSpacing w:val="0"/>
        <w:outlineLvl w:val="1"/>
        <w:rPr>
          <w:rFonts w:ascii="Arial" w:hAnsi="Arial"/>
          <w:vanish/>
          <w:sz w:val="32"/>
        </w:rPr>
      </w:pPr>
    </w:p>
    <w:p w14:paraId="6985158C" w14:textId="1704D358" w:rsidR="005D1B69" w:rsidRPr="005D1B69" w:rsidRDefault="00300D29" w:rsidP="00753689">
      <w:pPr>
        <w:pStyle w:val="Doc-text2"/>
        <w:spacing w:after="240"/>
        <w:ind w:left="0" w:firstLine="0"/>
        <w:rPr>
          <w:rFonts w:ascii="Times New Roman" w:eastAsia="SimSun" w:hAnsi="Times New Roman"/>
          <w:bCs/>
          <w:szCs w:val="20"/>
        </w:rPr>
      </w:pPr>
      <w:r w:rsidRPr="00077C86">
        <w:rPr>
          <w:rFonts w:ascii="Times New Roman" w:eastAsia="SimSun" w:hAnsi="Times New Roman"/>
          <w:bCs/>
          <w:szCs w:val="20"/>
        </w:rPr>
        <w:t>As agreed in</w:t>
      </w:r>
      <w:r w:rsidR="00CA1B00" w:rsidRPr="00077C86">
        <w:rPr>
          <w:rFonts w:ascii="Times New Roman" w:eastAsia="SimSun" w:hAnsi="Times New Roman"/>
          <w:bCs/>
          <w:szCs w:val="20"/>
        </w:rPr>
        <w:t xml:space="preserve"> RAN2#129 meeting, </w:t>
      </w:r>
      <w:r w:rsidR="00276CDD" w:rsidRPr="00077C86">
        <w:rPr>
          <w:rFonts w:ascii="Times New Roman" w:eastAsia="SimSun" w:hAnsi="Times New Roman"/>
          <w:bCs/>
          <w:szCs w:val="20"/>
        </w:rPr>
        <w:t xml:space="preserve">the NW </w:t>
      </w:r>
      <w:r w:rsidRPr="00077C86">
        <w:rPr>
          <w:rFonts w:ascii="Times New Roman" w:eastAsia="SimSun" w:hAnsi="Times New Roman"/>
          <w:bCs/>
          <w:szCs w:val="20"/>
        </w:rPr>
        <w:t>p</w:t>
      </w:r>
      <w:r w:rsidR="00276CDD" w:rsidRPr="00077C86">
        <w:rPr>
          <w:rFonts w:ascii="Times New Roman" w:eastAsia="SimSun" w:hAnsi="Times New Roman"/>
          <w:bCs/>
          <w:szCs w:val="20"/>
        </w:rPr>
        <w:t>rovide</w:t>
      </w:r>
      <w:r w:rsidRPr="00077C86">
        <w:rPr>
          <w:rFonts w:ascii="Times New Roman" w:eastAsia="SimSun" w:hAnsi="Times New Roman"/>
          <w:bCs/>
          <w:szCs w:val="20"/>
        </w:rPr>
        <w:t>s</w:t>
      </w:r>
      <w:r w:rsidR="00276CDD" w:rsidRPr="00077C86">
        <w:rPr>
          <w:rFonts w:ascii="Times New Roman" w:eastAsia="SimSun" w:hAnsi="Times New Roman"/>
          <w:bCs/>
          <w:szCs w:val="20"/>
        </w:rPr>
        <w:t xml:space="preserve"> periodic CSI configuration</w:t>
      </w:r>
      <w:r w:rsidR="00FB258E">
        <w:rPr>
          <w:rFonts w:ascii="Times New Roman" w:eastAsia="SimSun" w:hAnsi="Times New Roman"/>
          <w:bCs/>
          <w:szCs w:val="20"/>
        </w:rPr>
        <w:t>s</w:t>
      </w:r>
      <w:r w:rsidR="00276CDD" w:rsidRPr="00077C86">
        <w:rPr>
          <w:rFonts w:ascii="Times New Roman" w:eastAsia="SimSun" w:hAnsi="Times New Roman"/>
          <w:bCs/>
          <w:szCs w:val="20"/>
        </w:rPr>
        <w:t xml:space="preserve"> </w:t>
      </w:r>
      <w:r w:rsidR="00FB258E">
        <w:rPr>
          <w:rFonts w:ascii="Times New Roman" w:eastAsia="SimSun" w:hAnsi="Times New Roman"/>
          <w:bCs/>
          <w:szCs w:val="20"/>
        </w:rPr>
        <w:t>in step 3 for opt A</w:t>
      </w:r>
      <w:r w:rsidR="00276CDD" w:rsidRPr="00077C86">
        <w:rPr>
          <w:rFonts w:ascii="Times New Roman" w:eastAsia="SimSun" w:hAnsi="Times New Roman"/>
          <w:bCs/>
          <w:szCs w:val="20"/>
        </w:rPr>
        <w:t xml:space="preserve">. </w:t>
      </w:r>
      <w:r w:rsidRPr="00077C86">
        <w:rPr>
          <w:rFonts w:ascii="Times New Roman" w:eastAsia="SimSun" w:hAnsi="Times New Roman"/>
          <w:bCs/>
          <w:szCs w:val="20"/>
        </w:rPr>
        <w:t>If multiple</w:t>
      </w:r>
      <w:r w:rsidR="00276CDD" w:rsidRPr="00077C86">
        <w:rPr>
          <w:rFonts w:ascii="Times New Roman" w:eastAsia="SimSun" w:hAnsi="Times New Roman"/>
          <w:bCs/>
          <w:szCs w:val="20"/>
        </w:rPr>
        <w:t xml:space="preserve"> periodic CSI report configuration</w:t>
      </w:r>
      <w:r w:rsidRPr="00077C86">
        <w:rPr>
          <w:rFonts w:ascii="Times New Roman" w:eastAsia="SimSun" w:hAnsi="Times New Roman"/>
          <w:bCs/>
          <w:szCs w:val="20"/>
        </w:rPr>
        <w:t>s are</w:t>
      </w:r>
      <w:r w:rsidR="00276CDD" w:rsidRPr="00077C86">
        <w:rPr>
          <w:rFonts w:ascii="Times New Roman" w:eastAsia="SimSun" w:hAnsi="Times New Roman"/>
          <w:bCs/>
          <w:szCs w:val="20"/>
        </w:rPr>
        <w:t xml:space="preserve"> applicable, the UE can activate all the applicable functionalities upon reporting </w:t>
      </w:r>
      <w:r w:rsidRPr="00077C86">
        <w:rPr>
          <w:rFonts w:ascii="Times New Roman" w:eastAsia="SimSun" w:hAnsi="Times New Roman"/>
          <w:bCs/>
          <w:szCs w:val="20"/>
        </w:rPr>
        <w:t>them</w:t>
      </w:r>
      <w:r w:rsidR="00276CDD" w:rsidRPr="00077C86">
        <w:rPr>
          <w:rFonts w:ascii="Times New Roman" w:eastAsia="SimSun" w:hAnsi="Times New Roman"/>
          <w:bCs/>
          <w:szCs w:val="20"/>
        </w:rPr>
        <w:t xml:space="preserve"> via </w:t>
      </w:r>
      <w:r w:rsidR="00276CDD" w:rsidRPr="005D1B69">
        <w:rPr>
          <w:rFonts w:ascii="Times New Roman" w:eastAsia="SimSun" w:hAnsi="Times New Roman"/>
          <w:bCs/>
          <w:i/>
          <w:szCs w:val="20"/>
        </w:rPr>
        <w:t>RRCReconfigurationComplete</w:t>
      </w:r>
      <w:r w:rsidR="00276CDD" w:rsidRPr="00077C86">
        <w:rPr>
          <w:rFonts w:ascii="Times New Roman" w:eastAsia="SimSun" w:hAnsi="Times New Roman"/>
          <w:bCs/>
          <w:szCs w:val="20"/>
        </w:rPr>
        <w:t xml:space="preserve"> message in step 4.</w:t>
      </w:r>
      <w:r w:rsidR="002F72A3" w:rsidRPr="00077C86">
        <w:rPr>
          <w:rFonts w:ascii="Times New Roman" w:eastAsia="SimSun" w:hAnsi="Times New Roman"/>
          <w:bCs/>
          <w:szCs w:val="20"/>
        </w:rPr>
        <w:t xml:space="preserve"> </w:t>
      </w:r>
      <w:r w:rsidR="00FB258E">
        <w:rPr>
          <w:rFonts w:ascii="Times New Roman" w:eastAsia="SimSun" w:hAnsi="Times New Roman"/>
          <w:bCs/>
          <w:szCs w:val="20"/>
        </w:rPr>
        <w:t>It is essential for t</w:t>
      </w:r>
      <w:r w:rsidR="00AB24B8" w:rsidRPr="00077C86">
        <w:rPr>
          <w:rFonts w:ascii="Times New Roman" w:eastAsia="SimSun" w:hAnsi="Times New Roman"/>
          <w:bCs/>
          <w:szCs w:val="20"/>
        </w:rPr>
        <w:t xml:space="preserve">he NW </w:t>
      </w:r>
      <w:r w:rsidR="00FB258E">
        <w:rPr>
          <w:rFonts w:ascii="Times New Roman" w:eastAsia="SimSun" w:hAnsi="Times New Roman"/>
          <w:bCs/>
          <w:szCs w:val="20"/>
        </w:rPr>
        <w:t>to make sure</w:t>
      </w:r>
      <w:r w:rsidR="00AB24B8" w:rsidRPr="00077C86">
        <w:rPr>
          <w:rFonts w:ascii="Times New Roman" w:eastAsia="SimSun" w:hAnsi="Times New Roman"/>
          <w:bCs/>
          <w:szCs w:val="20"/>
        </w:rPr>
        <w:t xml:space="preserve"> that the configured periodic CSI configurations are consistent with reported UE capabilities.</w:t>
      </w:r>
      <w:r w:rsidR="005D1B69">
        <w:rPr>
          <w:rFonts w:ascii="Times New Roman" w:eastAsia="SimSun" w:hAnsi="Times New Roman"/>
          <w:bCs/>
          <w:szCs w:val="20"/>
        </w:rPr>
        <w:t xml:space="preserve"> </w:t>
      </w:r>
      <w:r w:rsidR="005D1B69" w:rsidRPr="005D1B69">
        <w:rPr>
          <w:rFonts w:ascii="Times New Roman" w:eastAsia="SimSun" w:hAnsi="Times New Roman"/>
          <w:bCs/>
          <w:szCs w:val="20"/>
        </w:rPr>
        <w:t>R</w:t>
      </w:r>
      <w:r w:rsidR="009B0990" w:rsidRPr="005D1B69">
        <w:rPr>
          <w:rFonts w:ascii="Times New Roman" w:eastAsia="SimSun" w:hAnsi="Times New Roman"/>
          <w:bCs/>
          <w:szCs w:val="20"/>
        </w:rPr>
        <w:t xml:space="preserve">egarding </w:t>
      </w:r>
      <w:r w:rsidR="008305DD" w:rsidRPr="005D1B69">
        <w:rPr>
          <w:rFonts w:ascii="Times New Roman" w:eastAsia="SimSun" w:hAnsi="Times New Roman"/>
          <w:bCs/>
          <w:szCs w:val="20"/>
        </w:rPr>
        <w:t>the reported UE capabilities</w:t>
      </w:r>
      <w:r w:rsidR="009B0990" w:rsidRPr="005D1B69">
        <w:rPr>
          <w:rFonts w:ascii="Times New Roman" w:eastAsia="SimSun" w:hAnsi="Times New Roman"/>
          <w:bCs/>
          <w:szCs w:val="20"/>
        </w:rPr>
        <w:t xml:space="preserve"> relevant to periodic CSI report configurations</w:t>
      </w:r>
      <w:r w:rsidR="008305DD" w:rsidRPr="005D1B69">
        <w:rPr>
          <w:rFonts w:ascii="Times New Roman" w:eastAsia="SimSun" w:hAnsi="Times New Roman"/>
          <w:bCs/>
          <w:szCs w:val="20"/>
        </w:rPr>
        <w:t xml:space="preserve">, </w:t>
      </w:r>
      <w:r w:rsidR="00B03F07" w:rsidRPr="005D1B69">
        <w:rPr>
          <w:rFonts w:ascii="Times New Roman" w:eastAsia="SimSun" w:hAnsi="Times New Roman"/>
          <w:bCs/>
          <w:szCs w:val="20"/>
        </w:rPr>
        <w:t>the details are</w:t>
      </w:r>
      <w:r w:rsidR="009B0990" w:rsidRPr="005D1B69">
        <w:rPr>
          <w:rFonts w:ascii="Times New Roman" w:eastAsia="SimSun" w:hAnsi="Times New Roman"/>
          <w:bCs/>
          <w:szCs w:val="20"/>
        </w:rPr>
        <w:t xml:space="preserve"> currently</w:t>
      </w:r>
      <w:r w:rsidR="00B03F07" w:rsidRPr="005D1B69">
        <w:rPr>
          <w:rFonts w:ascii="Times New Roman" w:eastAsia="SimSun" w:hAnsi="Times New Roman"/>
          <w:bCs/>
          <w:szCs w:val="20"/>
        </w:rPr>
        <w:t xml:space="preserve"> unclear</w:t>
      </w:r>
      <w:r w:rsidR="00EE435B" w:rsidRPr="005D1B69">
        <w:rPr>
          <w:rFonts w:ascii="Times New Roman" w:eastAsia="SimSun" w:hAnsi="Times New Roman"/>
          <w:bCs/>
          <w:szCs w:val="20"/>
        </w:rPr>
        <w:t>.</w:t>
      </w:r>
      <w:r w:rsidR="009B0990" w:rsidRPr="005D1B69">
        <w:rPr>
          <w:rFonts w:ascii="Times New Roman" w:eastAsia="SimSun" w:hAnsi="Times New Roman"/>
          <w:bCs/>
          <w:szCs w:val="20"/>
        </w:rPr>
        <w:t xml:space="preserve"> </w:t>
      </w:r>
      <w:r w:rsidR="00EE435B" w:rsidRPr="005D1B69">
        <w:rPr>
          <w:rFonts w:ascii="Times New Roman" w:eastAsia="SimSun" w:hAnsi="Times New Roman"/>
          <w:bCs/>
          <w:szCs w:val="20"/>
        </w:rPr>
        <w:t>RAN2</w:t>
      </w:r>
      <w:r w:rsidR="008305DD" w:rsidRPr="005D1B69">
        <w:rPr>
          <w:rFonts w:ascii="Times New Roman" w:eastAsia="SimSun" w:hAnsi="Times New Roman"/>
          <w:bCs/>
          <w:szCs w:val="20"/>
        </w:rPr>
        <w:t xml:space="preserve"> </w:t>
      </w:r>
      <w:r w:rsidR="009B0990" w:rsidRPr="005D1B69">
        <w:rPr>
          <w:rFonts w:ascii="Times New Roman" w:eastAsia="SimSun" w:hAnsi="Times New Roman"/>
          <w:bCs/>
          <w:szCs w:val="20"/>
        </w:rPr>
        <w:t>should</w:t>
      </w:r>
      <w:r w:rsidR="008305DD" w:rsidRPr="005D1B69">
        <w:rPr>
          <w:rFonts w:ascii="Times New Roman" w:eastAsia="SimSun" w:hAnsi="Times New Roman"/>
          <w:bCs/>
          <w:szCs w:val="20"/>
        </w:rPr>
        <w:t xml:space="preserve"> clarif</w:t>
      </w:r>
      <w:r w:rsidR="00EE435B" w:rsidRPr="005D1B69">
        <w:rPr>
          <w:rFonts w:ascii="Times New Roman" w:eastAsia="SimSun" w:hAnsi="Times New Roman"/>
          <w:bCs/>
          <w:szCs w:val="20"/>
        </w:rPr>
        <w:t>y which</w:t>
      </w:r>
      <w:r w:rsidR="009B0990" w:rsidRPr="005D1B69">
        <w:rPr>
          <w:rFonts w:ascii="Times New Roman" w:eastAsia="SimSun" w:hAnsi="Times New Roman"/>
          <w:bCs/>
          <w:szCs w:val="20"/>
        </w:rPr>
        <w:t xml:space="preserve"> </w:t>
      </w:r>
      <w:r w:rsidR="00EE435B" w:rsidRPr="005D1B69">
        <w:rPr>
          <w:rFonts w:ascii="Times New Roman" w:eastAsia="SimSun" w:hAnsi="Times New Roman"/>
          <w:bCs/>
          <w:szCs w:val="20"/>
        </w:rPr>
        <w:t>UE capabilities</w:t>
      </w:r>
      <w:r w:rsidR="009B0990" w:rsidRPr="005D1B69">
        <w:rPr>
          <w:rFonts w:ascii="Times New Roman" w:eastAsia="SimSun" w:hAnsi="Times New Roman"/>
          <w:bCs/>
          <w:szCs w:val="20"/>
        </w:rPr>
        <w:t xml:space="preserve"> the NW can consider during the provision of</w:t>
      </w:r>
      <w:r w:rsidR="00EE435B" w:rsidRPr="005D1B69">
        <w:rPr>
          <w:rFonts w:ascii="Times New Roman" w:eastAsia="SimSun" w:hAnsi="Times New Roman"/>
          <w:bCs/>
          <w:szCs w:val="20"/>
        </w:rPr>
        <w:t xml:space="preserve"> periodic CSI report configuration</w:t>
      </w:r>
      <w:r w:rsidR="009B0990" w:rsidRPr="005D1B69">
        <w:rPr>
          <w:rFonts w:ascii="Times New Roman" w:eastAsia="SimSun" w:hAnsi="Times New Roman"/>
          <w:bCs/>
          <w:szCs w:val="20"/>
        </w:rPr>
        <w:t>s</w:t>
      </w:r>
      <w:r w:rsidR="002F0BB4">
        <w:rPr>
          <w:rFonts w:ascii="Times New Roman" w:eastAsia="SimSun" w:hAnsi="Times New Roman"/>
          <w:bCs/>
          <w:szCs w:val="20"/>
        </w:rPr>
        <w:t>.</w:t>
      </w:r>
    </w:p>
    <w:p w14:paraId="3BCBA082" w14:textId="14175F39" w:rsidR="00232771" w:rsidRDefault="008305DD" w:rsidP="00753689">
      <w:pPr>
        <w:spacing w:after="240"/>
        <w:rPr>
          <w:lang w:eastAsia="zh-CN"/>
        </w:rPr>
      </w:pPr>
      <w:r>
        <w:rPr>
          <w:lang w:eastAsia="zh-CN"/>
        </w:rPr>
        <w:t>Currently, there are CSI report framework related capabilities, which def</w:t>
      </w:r>
      <w:r w:rsidR="00995C45">
        <w:rPr>
          <w:lang w:eastAsia="zh-CN"/>
        </w:rPr>
        <w:t>ine UE capabilities for simultaneous CSI report setting and processing capabilities.</w:t>
      </w:r>
      <w:r w:rsidR="008F759A">
        <w:rPr>
          <w:lang w:eastAsia="zh-CN"/>
        </w:rPr>
        <w:t xml:space="preserve"> With the knowledge of them, the NW can ensure </w:t>
      </w:r>
      <w:r w:rsidR="001852FA">
        <w:rPr>
          <w:lang w:eastAsia="zh-CN"/>
        </w:rPr>
        <w:t>p</w:t>
      </w:r>
      <w:r w:rsidR="008F759A">
        <w:rPr>
          <w:lang w:eastAsia="zh-CN"/>
        </w:rPr>
        <w:t>rovided CSI configurations to be aligned with these UE capabilities.</w:t>
      </w:r>
      <w:r w:rsidR="00F06E69">
        <w:rPr>
          <w:lang w:eastAsia="zh-CN"/>
        </w:rPr>
        <w:t xml:space="preserve"> Similar principles </w:t>
      </w:r>
      <w:r w:rsidR="00917500">
        <w:rPr>
          <w:lang w:eastAsia="zh-CN"/>
        </w:rPr>
        <w:t>should be consider</w:t>
      </w:r>
      <w:r w:rsidR="00F06E69">
        <w:rPr>
          <w:lang w:eastAsia="zh-CN"/>
        </w:rPr>
        <w:t>ed for the NW to configure periodic CSI configurations for pre</w:t>
      </w:r>
      <w:r w:rsidR="0071520E">
        <w:rPr>
          <w:lang w:eastAsia="zh-CN"/>
        </w:rPr>
        <w:t>diction.</w:t>
      </w:r>
    </w:p>
    <w:p w14:paraId="0D630294" w14:textId="02900A26" w:rsidR="00D21A8B" w:rsidRDefault="00CA6DCA" w:rsidP="00753689">
      <w:pPr>
        <w:spacing w:after="240"/>
        <w:rPr>
          <w:b/>
          <w:lang w:eastAsia="zh-CN"/>
        </w:rPr>
      </w:pPr>
      <w:r>
        <w:rPr>
          <w:b/>
          <w:lang w:eastAsia="zh-CN"/>
        </w:rPr>
        <w:t>P</w:t>
      </w:r>
      <w:r w:rsidR="00D21A8B" w:rsidRPr="008A4523">
        <w:rPr>
          <w:b/>
          <w:lang w:eastAsia="zh-CN"/>
        </w:rPr>
        <w:t>roposal 1: RAN2 should study</w:t>
      </w:r>
      <w:r w:rsidR="00D21A8B">
        <w:rPr>
          <w:b/>
          <w:lang w:eastAsia="zh-CN"/>
        </w:rPr>
        <w:t xml:space="preserve"> what</w:t>
      </w:r>
      <w:r w:rsidR="00631F24">
        <w:rPr>
          <w:b/>
          <w:lang w:eastAsia="zh-CN"/>
        </w:rPr>
        <w:t xml:space="preserve"> UE capabilities </w:t>
      </w:r>
      <w:r w:rsidR="00D21A8B">
        <w:rPr>
          <w:b/>
          <w:lang w:eastAsia="zh-CN"/>
        </w:rPr>
        <w:t xml:space="preserve">(e.g., CSI setting/processing capabilities) </w:t>
      </w:r>
      <w:r w:rsidR="00D21A8B" w:rsidRPr="008A4523">
        <w:rPr>
          <w:b/>
          <w:lang w:eastAsia="zh-CN"/>
        </w:rPr>
        <w:t xml:space="preserve">the NW </w:t>
      </w:r>
      <w:r w:rsidR="00D21A8B">
        <w:rPr>
          <w:b/>
          <w:lang w:eastAsia="zh-CN"/>
        </w:rPr>
        <w:t>needs to consider</w:t>
      </w:r>
      <w:r w:rsidR="00381059">
        <w:rPr>
          <w:b/>
          <w:lang w:eastAsia="zh-CN"/>
        </w:rPr>
        <w:t xml:space="preserve"> for ensuring </w:t>
      </w:r>
      <w:r w:rsidR="00753689">
        <w:rPr>
          <w:b/>
          <w:lang w:eastAsia="zh-CN"/>
        </w:rPr>
        <w:t>consistent</w:t>
      </w:r>
      <w:r w:rsidR="00753689" w:rsidRPr="008A4523">
        <w:rPr>
          <w:b/>
          <w:lang w:eastAsia="zh-CN"/>
        </w:rPr>
        <w:t xml:space="preserve"> </w:t>
      </w:r>
      <w:r w:rsidR="00D21A8B" w:rsidRPr="008A4523">
        <w:rPr>
          <w:b/>
          <w:lang w:eastAsia="zh-CN"/>
        </w:rPr>
        <w:t xml:space="preserve">periodic CSI </w:t>
      </w:r>
      <w:r w:rsidR="00753689">
        <w:rPr>
          <w:b/>
          <w:lang w:eastAsia="zh-CN"/>
        </w:rPr>
        <w:t>configuration</w:t>
      </w:r>
      <w:r w:rsidR="00F41C8C">
        <w:rPr>
          <w:b/>
          <w:lang w:eastAsia="zh-CN"/>
        </w:rPr>
        <w:t>s</w:t>
      </w:r>
      <w:r w:rsidR="00753689">
        <w:rPr>
          <w:b/>
          <w:lang w:eastAsia="zh-CN"/>
        </w:rPr>
        <w:t>.</w:t>
      </w:r>
    </w:p>
    <w:p w14:paraId="350F6F0A" w14:textId="77777777" w:rsidR="001C7EC1" w:rsidRDefault="00805341" w:rsidP="00753689">
      <w:pPr>
        <w:spacing w:after="240"/>
        <w:rPr>
          <w:bCs/>
        </w:rPr>
      </w:pPr>
      <w:r w:rsidRPr="00805341">
        <w:rPr>
          <w:lang w:eastAsia="zh-CN"/>
        </w:rPr>
        <w:t xml:space="preserve">For both option A and B, the NW </w:t>
      </w:r>
      <w:r w:rsidR="006C4ADC">
        <w:rPr>
          <w:lang w:eastAsia="zh-CN"/>
        </w:rPr>
        <w:t xml:space="preserve">needs to </w:t>
      </w:r>
      <w:r w:rsidRPr="00805341">
        <w:rPr>
          <w:lang w:eastAsia="zh-CN"/>
        </w:rPr>
        <w:t xml:space="preserve">provide </w:t>
      </w:r>
      <w:r>
        <w:rPr>
          <w:lang w:eastAsia="zh-CN"/>
        </w:rPr>
        <w:t xml:space="preserve">a </w:t>
      </w:r>
      <w:r w:rsidRPr="00805341">
        <w:rPr>
          <w:lang w:eastAsia="zh-CN"/>
        </w:rPr>
        <w:t>full</w:t>
      </w:r>
      <w:r>
        <w:rPr>
          <w:b/>
          <w:lang w:eastAsia="zh-CN"/>
        </w:rPr>
        <w:t xml:space="preserve"> </w:t>
      </w:r>
      <w:r w:rsidRPr="00DE3069">
        <w:rPr>
          <w:bCs/>
        </w:rPr>
        <w:t>inference configuration</w:t>
      </w:r>
      <w:r>
        <w:rPr>
          <w:bCs/>
        </w:rPr>
        <w:t xml:space="preserve"> </w:t>
      </w:r>
      <w:r w:rsidR="006C4ADC">
        <w:rPr>
          <w:bCs/>
        </w:rPr>
        <w:t xml:space="preserve">to activate </w:t>
      </w:r>
      <w:r>
        <w:rPr>
          <w:bCs/>
        </w:rPr>
        <w:t xml:space="preserve">an applicable functionality. </w:t>
      </w:r>
      <w:r w:rsidR="006C4ADC">
        <w:rPr>
          <w:bCs/>
        </w:rPr>
        <w:t>As an example</w:t>
      </w:r>
      <w:r>
        <w:rPr>
          <w:bCs/>
        </w:rPr>
        <w:t xml:space="preserve"> in option A, we reuses parameters in the field </w:t>
      </w:r>
      <w:r w:rsidRPr="00805341">
        <w:rPr>
          <w:bCs/>
          <w:i/>
        </w:rPr>
        <w:t>CSI-reportConfig</w:t>
      </w:r>
      <w:r w:rsidR="006C4ADC">
        <w:rPr>
          <w:bCs/>
          <w:i/>
        </w:rPr>
        <w:t xml:space="preserve"> </w:t>
      </w:r>
      <w:r w:rsidR="006C4ADC" w:rsidRPr="006C4ADC">
        <w:rPr>
          <w:bCs/>
        </w:rPr>
        <w:t>for full inference configuration</w:t>
      </w:r>
      <w:r>
        <w:rPr>
          <w:bCs/>
        </w:rPr>
        <w:t>.</w:t>
      </w:r>
      <w:r w:rsidR="0058137B">
        <w:rPr>
          <w:bCs/>
        </w:rPr>
        <w:t xml:space="preserve"> </w:t>
      </w:r>
      <w:r w:rsidR="006C4ADC">
        <w:rPr>
          <w:bCs/>
        </w:rPr>
        <w:t>When providing</w:t>
      </w:r>
      <w:r w:rsidR="0058137B">
        <w:rPr>
          <w:bCs/>
        </w:rPr>
        <w:t xml:space="preserve"> CSI report configurations for prediction, </w:t>
      </w:r>
      <w:r w:rsidR="006C4ADC">
        <w:rPr>
          <w:bCs/>
        </w:rPr>
        <w:t>it leads to substantial</w:t>
      </w:r>
      <w:r w:rsidR="0058137B">
        <w:rPr>
          <w:bCs/>
        </w:rPr>
        <w:t xml:space="preserve"> signalling overhead. To improve the efficiency </w:t>
      </w:r>
      <w:r w:rsidR="006C4ADC">
        <w:rPr>
          <w:bCs/>
        </w:rPr>
        <w:t>of</w:t>
      </w:r>
      <w:r w:rsidR="0058137B">
        <w:rPr>
          <w:bCs/>
        </w:rPr>
        <w:t xml:space="preserve"> applicability reporting, it </w:t>
      </w:r>
      <w:r w:rsidR="006C4ADC">
        <w:rPr>
          <w:bCs/>
        </w:rPr>
        <w:t xml:space="preserve">would be </w:t>
      </w:r>
      <w:r w:rsidR="0058137B">
        <w:rPr>
          <w:bCs/>
        </w:rPr>
        <w:t xml:space="preserve">beneficial for the UE </w:t>
      </w:r>
      <w:r w:rsidR="006C4ADC">
        <w:rPr>
          <w:bCs/>
        </w:rPr>
        <w:t>to report its</w:t>
      </w:r>
      <w:r w:rsidR="0058137B">
        <w:rPr>
          <w:bCs/>
        </w:rPr>
        <w:t xml:space="preserve"> supported or preferred inference configurations</w:t>
      </w:r>
      <w:r w:rsidR="00007121" w:rsidRPr="00007121">
        <w:t xml:space="preserve"> </w:t>
      </w:r>
      <w:r w:rsidR="00007121" w:rsidRPr="00007121">
        <w:rPr>
          <w:bCs/>
        </w:rPr>
        <w:t>or parameters</w:t>
      </w:r>
      <w:r w:rsidR="0058137B">
        <w:rPr>
          <w:bCs/>
        </w:rPr>
        <w:t xml:space="preserve"> to the NW.</w:t>
      </w:r>
      <w:r w:rsidR="006C4ADC">
        <w:rPr>
          <w:bCs/>
        </w:rPr>
        <w:t xml:space="preserve"> </w:t>
      </w:r>
    </w:p>
    <w:p w14:paraId="4B179D3E" w14:textId="6FF58B9E" w:rsidR="00805341" w:rsidRDefault="00007121" w:rsidP="00753689">
      <w:pPr>
        <w:spacing w:after="240"/>
        <w:rPr>
          <w:bCs/>
        </w:rPr>
      </w:pPr>
      <w:r>
        <w:rPr>
          <w:bCs/>
        </w:rPr>
        <w:t xml:space="preserve">The </w:t>
      </w:r>
      <w:r w:rsidR="00894A67" w:rsidRPr="00894A67">
        <w:rPr>
          <w:bCs/>
        </w:rPr>
        <w:t xml:space="preserve">preference for inference configurations/parameters </w:t>
      </w:r>
      <w:r w:rsidR="00894A67">
        <w:rPr>
          <w:bCs/>
        </w:rPr>
        <w:t xml:space="preserve">can be initiated early and used for reference when the NW decides NW configured inference configurations/parameters. Alternatively, the </w:t>
      </w:r>
      <w:r w:rsidR="00894A67" w:rsidRPr="00894A67">
        <w:rPr>
          <w:bCs/>
        </w:rPr>
        <w:t xml:space="preserve">preference for inference configurations/parameters </w:t>
      </w:r>
      <w:r w:rsidR="00894A67">
        <w:rPr>
          <w:bCs/>
        </w:rPr>
        <w:t>can be initiated if none of functionality is applicable based on received NW configured inference configurations/parameters.</w:t>
      </w:r>
      <w:r w:rsidR="00166BC4">
        <w:rPr>
          <w:bCs/>
        </w:rPr>
        <w:t xml:space="preserve"> The NW can update inference configurations/parameters correspondingly.</w:t>
      </w:r>
    </w:p>
    <w:p w14:paraId="402B1BAB" w14:textId="66C078BE" w:rsidR="006C4ADC" w:rsidRPr="00007121" w:rsidRDefault="006C4ADC" w:rsidP="00753689">
      <w:pPr>
        <w:spacing w:after="240"/>
        <w:rPr>
          <w:b/>
          <w:lang w:eastAsia="zh-CN"/>
        </w:rPr>
      </w:pPr>
      <w:r w:rsidRPr="00007121">
        <w:rPr>
          <w:b/>
          <w:bCs/>
        </w:rPr>
        <w:t xml:space="preserve">Proposal 2: </w:t>
      </w:r>
      <w:r w:rsidR="00007121" w:rsidRPr="00007121">
        <w:rPr>
          <w:b/>
          <w:bCs/>
        </w:rPr>
        <w:t>The UE can send its preference for inference configurations</w:t>
      </w:r>
      <w:r w:rsidR="00894A67">
        <w:rPr>
          <w:b/>
          <w:bCs/>
        </w:rPr>
        <w:t>/</w:t>
      </w:r>
      <w:r w:rsidR="00007121" w:rsidRPr="00007121">
        <w:rPr>
          <w:b/>
          <w:bCs/>
        </w:rPr>
        <w:t>parameters.</w:t>
      </w:r>
    </w:p>
    <w:p w14:paraId="79C2B798" w14:textId="77777777" w:rsidR="00BC7BC1" w:rsidRPr="00BC7BC1" w:rsidRDefault="00BC7BC1" w:rsidP="00753689">
      <w:pPr>
        <w:pStyle w:val="ListParagraph"/>
        <w:keepNext/>
        <w:keepLines/>
        <w:numPr>
          <w:ilvl w:val="0"/>
          <w:numId w:val="28"/>
        </w:numPr>
        <w:spacing w:after="240"/>
        <w:contextualSpacing w:val="0"/>
        <w:outlineLvl w:val="1"/>
        <w:rPr>
          <w:rFonts w:ascii="Arial" w:hAnsi="Arial"/>
          <w:vanish/>
          <w:sz w:val="32"/>
        </w:rPr>
      </w:pPr>
    </w:p>
    <w:p w14:paraId="2713C40E" w14:textId="77777777" w:rsidR="00BC7BC1" w:rsidRPr="00BC7BC1" w:rsidRDefault="00BC7BC1" w:rsidP="00753689">
      <w:pPr>
        <w:pStyle w:val="ListParagraph"/>
        <w:keepNext/>
        <w:keepLines/>
        <w:numPr>
          <w:ilvl w:val="0"/>
          <w:numId w:val="28"/>
        </w:numPr>
        <w:spacing w:after="240"/>
        <w:contextualSpacing w:val="0"/>
        <w:outlineLvl w:val="1"/>
        <w:rPr>
          <w:rFonts w:ascii="Arial" w:hAnsi="Arial"/>
          <w:vanish/>
          <w:sz w:val="32"/>
        </w:rPr>
      </w:pPr>
    </w:p>
    <w:p w14:paraId="26566B37" w14:textId="77777777" w:rsidR="00BC7BC1" w:rsidRPr="00BC7BC1" w:rsidRDefault="00BC7BC1" w:rsidP="00753689">
      <w:pPr>
        <w:pStyle w:val="ListParagraph"/>
        <w:keepNext/>
        <w:keepLines/>
        <w:numPr>
          <w:ilvl w:val="1"/>
          <w:numId w:val="28"/>
        </w:numPr>
        <w:spacing w:after="240"/>
        <w:contextualSpacing w:val="0"/>
        <w:outlineLvl w:val="1"/>
        <w:rPr>
          <w:rFonts w:ascii="Arial" w:hAnsi="Arial"/>
          <w:vanish/>
          <w:sz w:val="32"/>
        </w:rPr>
      </w:pPr>
    </w:p>
    <w:p w14:paraId="12BD044C" w14:textId="1D066650" w:rsidR="001B1E73" w:rsidRDefault="00D00394" w:rsidP="000645BC">
      <w:pPr>
        <w:spacing w:after="0"/>
      </w:pPr>
      <w:r>
        <w:t>Based on the agreements in</w:t>
      </w:r>
      <w:r w:rsidRPr="00B17182">
        <w:t xml:space="preserve"> </w:t>
      </w:r>
      <w:r>
        <w:t xml:space="preserve">RAN2#128 </w:t>
      </w:r>
      <w:r>
        <w:rPr>
          <w:rFonts w:hint="eastAsia"/>
          <w:lang w:eastAsia="zh-CN"/>
        </w:rPr>
        <w:t>meeting</w:t>
      </w:r>
      <w:r>
        <w:rPr>
          <w:lang w:eastAsia="zh-CN"/>
        </w:rPr>
        <w:t>,</w:t>
      </w:r>
      <w:r>
        <w:t xml:space="preserve"> the </w:t>
      </w:r>
      <w:r w:rsidR="00B17182">
        <w:t xml:space="preserve">updated report is triggered if </w:t>
      </w:r>
      <w:r w:rsidR="00B17182" w:rsidRPr="00B17182">
        <w:t>a functionality becomes from non-applicable to applicable</w:t>
      </w:r>
      <w:r w:rsidR="00B17182">
        <w:t>.</w:t>
      </w:r>
      <w:r w:rsidR="00077C86">
        <w:t xml:space="preserve"> </w:t>
      </w:r>
    </w:p>
    <w:p w14:paraId="17DA6B67" w14:textId="77777777" w:rsidR="001B1E73" w:rsidRPr="001B1E73" w:rsidRDefault="001B1E73" w:rsidP="000645BC">
      <w:pPr>
        <w:pStyle w:val="Agreement"/>
        <w:tabs>
          <w:tab w:val="clear" w:pos="1619"/>
          <w:tab w:val="num" w:pos="1350"/>
        </w:tabs>
        <w:spacing w:after="240"/>
        <w:ind w:left="360"/>
        <w:rPr>
          <w:i/>
          <w:lang w:val="en-US"/>
        </w:rPr>
      </w:pPr>
      <w:r w:rsidRPr="001B1E73">
        <w:rPr>
          <w:i/>
          <w:lang w:val="en-US"/>
        </w:rPr>
        <w:t xml:space="preserve">When a functionality configured by the network to be reported via UAI, becomes from non-applicable to applicable, the UE can reports it to the network. </w:t>
      </w:r>
    </w:p>
    <w:p w14:paraId="3C61C997" w14:textId="29F72CDC" w:rsidR="00A86FEC" w:rsidRDefault="00957AE6" w:rsidP="00753689">
      <w:pPr>
        <w:spacing w:after="240"/>
      </w:pPr>
      <w:r>
        <w:rPr>
          <w:lang w:val="en-US"/>
        </w:rPr>
        <w:t>On the contrary,</w:t>
      </w:r>
      <w:r w:rsidR="00A5529F">
        <w:t xml:space="preserve"> i</w:t>
      </w:r>
      <w:r w:rsidR="00406951">
        <w:t xml:space="preserve">f the conditions to determining the </w:t>
      </w:r>
      <w:r w:rsidR="00917E04">
        <w:t>applicability determination change</w:t>
      </w:r>
      <w:r w:rsidR="00406951">
        <w:t xml:space="preserve"> over time</w:t>
      </w:r>
      <w:r w:rsidR="00917E04">
        <w:t xml:space="preserve">, </w:t>
      </w:r>
      <w:r w:rsidR="00B17182">
        <w:t>a</w:t>
      </w:r>
      <w:r w:rsidR="00406951">
        <w:t>n</w:t>
      </w:r>
      <w:r w:rsidR="00917E04">
        <w:t xml:space="preserve"> initially applicable functionality may become </w:t>
      </w:r>
      <w:r w:rsidR="00406951">
        <w:t>non-applicable</w:t>
      </w:r>
      <w:r w:rsidR="00B17182">
        <w:t>. T</w:t>
      </w:r>
      <w:r w:rsidR="00917E04">
        <w:t xml:space="preserve">his information is </w:t>
      </w:r>
      <w:r w:rsidR="00406951">
        <w:t xml:space="preserve">crucial </w:t>
      </w:r>
      <w:r w:rsidR="00917E04">
        <w:t xml:space="preserve">for the NW to avoid </w:t>
      </w:r>
      <w:r w:rsidR="00406951">
        <w:t>incorrect activation</w:t>
      </w:r>
      <w:r w:rsidR="00917E04">
        <w:t xml:space="preserve"> configuration</w:t>
      </w:r>
      <w:r w:rsidR="00406951">
        <w:t xml:space="preserve">s </w:t>
      </w:r>
      <w:r w:rsidR="00086064">
        <w:t xml:space="preserve">for </w:t>
      </w:r>
      <w:r w:rsidR="00E8215B">
        <w:t>these functionalities</w:t>
      </w:r>
      <w:r w:rsidR="00086064">
        <w:t xml:space="preserve">. </w:t>
      </w:r>
      <w:r w:rsidR="003B0F12">
        <w:t>Thus, it</w:t>
      </w:r>
      <w:r w:rsidR="00E8215B">
        <w:t xml:space="preserve"> is necessary that</w:t>
      </w:r>
      <w:r w:rsidR="00077C86">
        <w:t xml:space="preserve"> the UAI is triggered when an applicable functionality becomes non-applicable.</w:t>
      </w:r>
    </w:p>
    <w:p w14:paraId="009C463A" w14:textId="45AF74C2" w:rsidR="00A86FEC" w:rsidRDefault="00A86FEC" w:rsidP="00753689">
      <w:pPr>
        <w:spacing w:after="240"/>
        <w:rPr>
          <w:b/>
          <w:lang w:eastAsia="zh-CN"/>
        </w:rPr>
      </w:pPr>
      <w:r>
        <w:rPr>
          <w:b/>
          <w:lang w:eastAsia="zh-CN"/>
        </w:rPr>
        <w:t>P</w:t>
      </w:r>
      <w:r w:rsidRPr="008A4523">
        <w:rPr>
          <w:b/>
          <w:lang w:eastAsia="zh-CN"/>
        </w:rPr>
        <w:t xml:space="preserve">roposal </w:t>
      </w:r>
      <w:r w:rsidR="00077C86">
        <w:rPr>
          <w:b/>
          <w:lang w:eastAsia="zh-CN"/>
        </w:rPr>
        <w:t>3</w:t>
      </w:r>
      <w:r w:rsidRPr="008A4523">
        <w:rPr>
          <w:b/>
          <w:lang w:eastAsia="zh-CN"/>
        </w:rPr>
        <w:t>:</w:t>
      </w:r>
      <w:r>
        <w:rPr>
          <w:b/>
          <w:lang w:eastAsia="zh-CN"/>
        </w:rPr>
        <w:t xml:space="preserve"> </w:t>
      </w:r>
      <w:r w:rsidR="00B17182" w:rsidRPr="00B17182">
        <w:rPr>
          <w:b/>
          <w:lang w:eastAsia="zh-CN"/>
        </w:rPr>
        <w:t>Upon applicability changes from applicable to non-applicable</w:t>
      </w:r>
      <w:r w:rsidR="00B17182">
        <w:rPr>
          <w:b/>
          <w:lang w:eastAsia="zh-CN"/>
        </w:rPr>
        <w:t>,</w:t>
      </w:r>
      <w:r w:rsidR="00B17182" w:rsidRPr="00B17182">
        <w:t xml:space="preserve"> </w:t>
      </w:r>
      <w:r w:rsidR="00B17182" w:rsidRPr="00B17182">
        <w:rPr>
          <w:b/>
          <w:lang w:eastAsia="zh-CN"/>
        </w:rPr>
        <w:t xml:space="preserve">the UE </w:t>
      </w:r>
      <w:r w:rsidR="006437D8">
        <w:rPr>
          <w:b/>
          <w:lang w:eastAsia="zh-CN"/>
        </w:rPr>
        <w:t>s</w:t>
      </w:r>
      <w:r w:rsidR="00B17182" w:rsidRPr="00B17182">
        <w:rPr>
          <w:b/>
          <w:lang w:eastAsia="zh-CN"/>
        </w:rPr>
        <w:t>end</w:t>
      </w:r>
      <w:r w:rsidR="006437D8">
        <w:rPr>
          <w:b/>
          <w:lang w:eastAsia="zh-CN"/>
        </w:rPr>
        <w:t>s</w:t>
      </w:r>
      <w:r w:rsidR="00B17182" w:rsidRPr="00B17182">
        <w:rPr>
          <w:b/>
          <w:lang w:eastAsia="zh-CN"/>
        </w:rPr>
        <w:t xml:space="preserve"> the applicability report via UAI</w:t>
      </w:r>
      <w:r w:rsidR="00B5775A">
        <w:rPr>
          <w:b/>
          <w:lang w:eastAsia="zh-CN"/>
        </w:rPr>
        <w:t>.</w:t>
      </w:r>
    </w:p>
    <w:p w14:paraId="457B4632" w14:textId="20D6FC9A" w:rsidR="003D27BF" w:rsidRPr="003D27BF" w:rsidRDefault="003D27BF" w:rsidP="00753689">
      <w:pPr>
        <w:spacing w:after="240"/>
      </w:pPr>
      <w:r w:rsidRPr="003D27BF">
        <w:t>From NW perspective, it expects the latest applicability information for further functionality control. The reasons for the changes is not necessary.</w:t>
      </w:r>
    </w:p>
    <w:p w14:paraId="66AA6DC1" w14:textId="02C95112" w:rsidR="00ED129F" w:rsidRDefault="00ED129F" w:rsidP="00753689">
      <w:pPr>
        <w:spacing w:after="240"/>
        <w:rPr>
          <w:b/>
          <w:lang w:eastAsia="zh-CN"/>
        </w:rPr>
      </w:pPr>
      <w:r>
        <w:rPr>
          <w:b/>
          <w:lang w:eastAsia="zh-CN"/>
        </w:rPr>
        <w:t>P</w:t>
      </w:r>
      <w:r w:rsidRPr="008A4523">
        <w:rPr>
          <w:b/>
          <w:lang w:eastAsia="zh-CN"/>
        </w:rPr>
        <w:t xml:space="preserve">roposal </w:t>
      </w:r>
      <w:r>
        <w:rPr>
          <w:b/>
          <w:lang w:eastAsia="zh-CN"/>
        </w:rPr>
        <w:t>4</w:t>
      </w:r>
      <w:r w:rsidRPr="008A4523">
        <w:rPr>
          <w:b/>
          <w:lang w:eastAsia="zh-CN"/>
        </w:rPr>
        <w:t>:</w:t>
      </w:r>
      <w:r w:rsidR="008F0AEC">
        <w:rPr>
          <w:b/>
          <w:lang w:eastAsia="zh-CN"/>
        </w:rPr>
        <w:t xml:space="preserve"> When the applicability information changes (applicability to inapplicability, or inapplicability to applicability), n</w:t>
      </w:r>
      <w:r w:rsidR="00017AA4">
        <w:rPr>
          <w:b/>
          <w:lang w:eastAsia="zh-CN"/>
        </w:rPr>
        <w:t>o explicit cause is reported</w:t>
      </w:r>
      <w:r w:rsidR="008F0AEC">
        <w:rPr>
          <w:b/>
          <w:lang w:eastAsia="zh-CN"/>
        </w:rPr>
        <w:t>.</w:t>
      </w:r>
    </w:p>
    <w:p w14:paraId="1A141051" w14:textId="3F36A5E5" w:rsidR="00B84E1E" w:rsidRDefault="00D93205" w:rsidP="00753689">
      <w:pPr>
        <w:pStyle w:val="Comments"/>
        <w:spacing w:before="0" w:after="240"/>
        <w:rPr>
          <w:rFonts w:ascii="Times New Roman" w:eastAsia="SimSun" w:hAnsi="Times New Roman"/>
          <w:i w:val="0"/>
          <w:noProof w:val="0"/>
          <w:sz w:val="20"/>
          <w:szCs w:val="20"/>
        </w:rPr>
      </w:pPr>
      <w:r>
        <w:rPr>
          <w:rFonts w:ascii="Times New Roman" w:eastAsia="SimSun" w:hAnsi="Times New Roman"/>
          <w:i w:val="0"/>
          <w:noProof w:val="0"/>
          <w:sz w:val="20"/>
          <w:szCs w:val="20"/>
        </w:rPr>
        <w:t>I</w:t>
      </w:r>
      <w:r w:rsidR="00477AF0" w:rsidRPr="00477AF0">
        <w:rPr>
          <w:rFonts w:ascii="Times New Roman" w:eastAsia="SimSun" w:hAnsi="Times New Roman"/>
          <w:i w:val="0"/>
          <w:noProof w:val="0"/>
          <w:sz w:val="20"/>
          <w:szCs w:val="20"/>
        </w:rPr>
        <w:t>n RAN2#128 meeting, RAN2 discussed UE behaviour</w:t>
      </w:r>
      <w:r w:rsidR="00A470F2">
        <w:rPr>
          <w:rFonts w:ascii="Times New Roman" w:eastAsia="SimSun" w:hAnsi="Times New Roman"/>
          <w:i w:val="0"/>
          <w:noProof w:val="0"/>
          <w:sz w:val="20"/>
          <w:szCs w:val="20"/>
        </w:rPr>
        <w:t>s</w:t>
      </w:r>
      <w:r w:rsidR="00477AF0" w:rsidRPr="00477AF0">
        <w:rPr>
          <w:rFonts w:ascii="Times New Roman" w:eastAsia="SimSun" w:hAnsi="Times New Roman"/>
          <w:i w:val="0"/>
          <w:noProof w:val="0"/>
          <w:sz w:val="20"/>
          <w:szCs w:val="20"/>
        </w:rPr>
        <w:t xml:space="preserve"> when </w:t>
      </w:r>
      <w:r w:rsidR="00565B34">
        <w:rPr>
          <w:rFonts w:ascii="Times New Roman" w:eastAsia="SimSun" w:hAnsi="Times New Roman"/>
          <w:i w:val="0"/>
          <w:noProof w:val="0"/>
          <w:sz w:val="20"/>
          <w:szCs w:val="20"/>
        </w:rPr>
        <w:t xml:space="preserve">the UE </w:t>
      </w:r>
      <w:r w:rsidR="00477AF0" w:rsidRPr="00477AF0">
        <w:rPr>
          <w:rFonts w:ascii="Times New Roman" w:eastAsia="SimSun" w:hAnsi="Times New Roman"/>
          <w:i w:val="0"/>
          <w:noProof w:val="0"/>
          <w:sz w:val="20"/>
          <w:szCs w:val="20"/>
        </w:rPr>
        <w:t>detect</w:t>
      </w:r>
      <w:r w:rsidR="00565B34">
        <w:rPr>
          <w:rFonts w:ascii="Times New Roman" w:eastAsia="SimSun" w:hAnsi="Times New Roman"/>
          <w:i w:val="0"/>
          <w:noProof w:val="0"/>
          <w:sz w:val="20"/>
          <w:szCs w:val="20"/>
        </w:rPr>
        <w:t>s</w:t>
      </w:r>
      <w:r w:rsidR="00477AF0" w:rsidRPr="00477AF0">
        <w:rPr>
          <w:rFonts w:ascii="Times New Roman" w:eastAsia="SimSun" w:hAnsi="Times New Roman"/>
          <w:i w:val="0"/>
          <w:noProof w:val="0"/>
          <w:sz w:val="20"/>
          <w:szCs w:val="20"/>
        </w:rPr>
        <w:t xml:space="preserve"> </w:t>
      </w:r>
      <w:r w:rsidR="00887BF1" w:rsidRPr="00477AF0">
        <w:rPr>
          <w:rFonts w:ascii="Times New Roman" w:eastAsia="SimSun" w:hAnsi="Times New Roman"/>
          <w:i w:val="0"/>
          <w:noProof w:val="0"/>
          <w:sz w:val="20"/>
          <w:szCs w:val="20"/>
        </w:rPr>
        <w:t>an</w:t>
      </w:r>
      <w:r w:rsidR="00477AF0" w:rsidRPr="00477AF0">
        <w:rPr>
          <w:rFonts w:ascii="Times New Roman" w:eastAsia="SimSun" w:hAnsi="Times New Roman"/>
          <w:i w:val="0"/>
          <w:noProof w:val="0"/>
          <w:sz w:val="20"/>
          <w:szCs w:val="20"/>
        </w:rPr>
        <w:t xml:space="preserve"> activated </w:t>
      </w:r>
      <w:r w:rsidR="00565B34" w:rsidRPr="00477AF0">
        <w:rPr>
          <w:rFonts w:ascii="Times New Roman" w:eastAsia="SimSun" w:hAnsi="Times New Roman"/>
          <w:i w:val="0"/>
          <w:noProof w:val="0"/>
          <w:sz w:val="20"/>
          <w:szCs w:val="20"/>
        </w:rPr>
        <w:t>applicable</w:t>
      </w:r>
      <w:r w:rsidR="00477AF0" w:rsidRPr="00477AF0">
        <w:rPr>
          <w:rFonts w:ascii="Times New Roman" w:eastAsia="SimSun" w:hAnsi="Times New Roman"/>
          <w:i w:val="0"/>
          <w:noProof w:val="0"/>
          <w:sz w:val="20"/>
          <w:szCs w:val="20"/>
        </w:rPr>
        <w:t xml:space="preserve"> functionality becoming non-applicable. </w:t>
      </w:r>
      <w:r w:rsidR="00B84E1E">
        <w:rPr>
          <w:rFonts w:ascii="Times New Roman" w:eastAsia="SimSun" w:hAnsi="Times New Roman"/>
          <w:i w:val="0"/>
          <w:noProof w:val="0"/>
          <w:sz w:val="20"/>
          <w:szCs w:val="20"/>
        </w:rPr>
        <w:t>The UE doesn’t autonomously deactivate the non-applicable functionality which is activated currently. Instead, the NW is expected to deactivate the non-applicable functionality</w:t>
      </w:r>
      <w:r w:rsidR="00B84E1E" w:rsidRPr="00B84E1E">
        <w:rPr>
          <w:rFonts w:ascii="Times New Roman" w:eastAsia="SimSun" w:hAnsi="Times New Roman"/>
          <w:i w:val="0"/>
          <w:noProof w:val="0"/>
          <w:sz w:val="20"/>
          <w:szCs w:val="20"/>
        </w:rPr>
        <w:t xml:space="preserve"> </w:t>
      </w:r>
      <w:r w:rsidR="00B84E1E">
        <w:rPr>
          <w:rFonts w:ascii="Times New Roman" w:eastAsia="SimSun" w:hAnsi="Times New Roman"/>
          <w:i w:val="0"/>
          <w:noProof w:val="0"/>
          <w:sz w:val="20"/>
          <w:szCs w:val="20"/>
        </w:rPr>
        <w:t xml:space="preserve">and the UE waits for the deactivation command from the NW. </w:t>
      </w:r>
    </w:p>
    <w:p w14:paraId="2E872A75" w14:textId="717F7865" w:rsidR="00E07B9A" w:rsidRPr="00E07B9A" w:rsidRDefault="00E07B9A" w:rsidP="00F40FAC">
      <w:pPr>
        <w:pStyle w:val="Agreement"/>
        <w:tabs>
          <w:tab w:val="clear" w:pos="1619"/>
          <w:tab w:val="num" w:pos="1350"/>
        </w:tabs>
        <w:spacing w:before="0" w:after="240"/>
        <w:ind w:left="360"/>
        <w:rPr>
          <w:i/>
          <w:lang w:val="en-US"/>
        </w:rPr>
      </w:pPr>
      <w:r w:rsidRPr="00E07B9A">
        <w:rPr>
          <w:i/>
          <w:lang w:val="en-US"/>
        </w:rPr>
        <w:t>When a functionality becomes non-applicable the UE doesn’t autonomously deactivate. NW is expected to deactivate active functionality when it receives report from UE that it is non-applicable</w:t>
      </w:r>
    </w:p>
    <w:p w14:paraId="27496D29" w14:textId="31E56D47" w:rsidR="0052656C" w:rsidRPr="00B84E1E" w:rsidRDefault="00E07B9A" w:rsidP="00753689">
      <w:pPr>
        <w:pStyle w:val="Comments"/>
        <w:spacing w:before="0" w:after="240"/>
        <w:rPr>
          <w:rFonts w:ascii="Times New Roman" w:eastAsia="SimSun" w:hAnsi="Times New Roman"/>
          <w:i w:val="0"/>
          <w:noProof w:val="0"/>
          <w:sz w:val="20"/>
          <w:szCs w:val="20"/>
        </w:rPr>
      </w:pPr>
      <w:r>
        <w:rPr>
          <w:rFonts w:ascii="Times New Roman" w:eastAsia="SimSun" w:hAnsi="Times New Roman"/>
          <w:i w:val="0"/>
          <w:noProof w:val="0"/>
          <w:sz w:val="20"/>
          <w:szCs w:val="20"/>
        </w:rPr>
        <w:t>A</w:t>
      </w:r>
      <w:r w:rsidR="00304BDA" w:rsidRPr="00B84E1E">
        <w:rPr>
          <w:rFonts w:ascii="Times New Roman" w:eastAsia="SimSun" w:hAnsi="Times New Roman"/>
          <w:i w:val="0"/>
          <w:noProof w:val="0"/>
          <w:sz w:val="20"/>
          <w:szCs w:val="20"/>
        </w:rPr>
        <w:t xml:space="preserve">s </w:t>
      </w:r>
      <w:r w:rsidR="00DB72A6" w:rsidRPr="00B84E1E">
        <w:rPr>
          <w:rFonts w:ascii="Times New Roman" w:eastAsia="SimSun" w:hAnsi="Times New Roman"/>
          <w:i w:val="0"/>
          <w:noProof w:val="0"/>
          <w:sz w:val="20"/>
          <w:szCs w:val="20"/>
        </w:rPr>
        <w:t>previously mentioned</w:t>
      </w:r>
      <w:r w:rsidR="00304BDA" w:rsidRPr="00B84E1E">
        <w:rPr>
          <w:rFonts w:ascii="Times New Roman" w:eastAsia="SimSun" w:hAnsi="Times New Roman"/>
          <w:i w:val="0"/>
          <w:noProof w:val="0"/>
          <w:sz w:val="20"/>
          <w:szCs w:val="20"/>
        </w:rPr>
        <w:t xml:space="preserve">, </w:t>
      </w:r>
      <w:r w:rsidR="00887BF1" w:rsidRPr="00B84E1E">
        <w:rPr>
          <w:rFonts w:ascii="Times New Roman" w:eastAsia="SimSun" w:hAnsi="Times New Roman"/>
          <w:i w:val="0"/>
          <w:noProof w:val="0"/>
          <w:sz w:val="20"/>
          <w:szCs w:val="20"/>
        </w:rPr>
        <w:t>when an activated applicable functionality becomes non-applicable, the UE reports</w:t>
      </w:r>
      <w:r w:rsidR="00DB72A6" w:rsidRPr="00B84E1E">
        <w:rPr>
          <w:rFonts w:ascii="Times New Roman" w:eastAsia="SimSun" w:hAnsi="Times New Roman"/>
          <w:i w:val="0"/>
          <w:noProof w:val="0"/>
          <w:sz w:val="20"/>
          <w:szCs w:val="20"/>
        </w:rPr>
        <w:t xml:space="preserve"> this</w:t>
      </w:r>
      <w:r w:rsidR="00887BF1" w:rsidRPr="00B84E1E">
        <w:rPr>
          <w:rFonts w:ascii="Times New Roman" w:eastAsia="SimSun" w:hAnsi="Times New Roman"/>
          <w:i w:val="0"/>
          <w:noProof w:val="0"/>
          <w:sz w:val="20"/>
          <w:szCs w:val="20"/>
        </w:rPr>
        <w:t xml:space="preserve"> to the NW. The NW is expected to deactivate the active functionality</w:t>
      </w:r>
      <w:r w:rsidR="00DB72A6" w:rsidRPr="00B84E1E">
        <w:rPr>
          <w:rFonts w:ascii="Times New Roman" w:eastAsia="SimSun" w:hAnsi="Times New Roman"/>
          <w:i w:val="0"/>
          <w:noProof w:val="0"/>
          <w:sz w:val="20"/>
          <w:szCs w:val="20"/>
        </w:rPr>
        <w:t>. However, this process introduces</w:t>
      </w:r>
      <w:r w:rsidR="00887BF1" w:rsidRPr="00B84E1E">
        <w:rPr>
          <w:rFonts w:ascii="Times New Roman" w:eastAsia="SimSun" w:hAnsi="Times New Roman"/>
          <w:i w:val="0"/>
          <w:noProof w:val="0"/>
          <w:sz w:val="20"/>
          <w:szCs w:val="20"/>
        </w:rPr>
        <w:t xml:space="preserve"> latency </w:t>
      </w:r>
      <w:r w:rsidR="00B84E1E" w:rsidRPr="00B84E1E">
        <w:rPr>
          <w:rFonts w:ascii="Times New Roman" w:eastAsia="SimSun" w:hAnsi="Times New Roman"/>
          <w:i w:val="0"/>
          <w:noProof w:val="0"/>
          <w:sz w:val="20"/>
          <w:szCs w:val="20"/>
        </w:rPr>
        <w:t xml:space="preserve">for </w:t>
      </w:r>
      <w:r w:rsidR="00DB72A6" w:rsidRPr="00B84E1E">
        <w:rPr>
          <w:rFonts w:ascii="Times New Roman" w:eastAsia="SimSun" w:hAnsi="Times New Roman"/>
          <w:i w:val="0"/>
          <w:noProof w:val="0"/>
          <w:sz w:val="20"/>
          <w:szCs w:val="20"/>
        </w:rPr>
        <w:t xml:space="preserve">the UE </w:t>
      </w:r>
      <w:r w:rsidR="00B84E1E" w:rsidRPr="00B84E1E">
        <w:rPr>
          <w:rFonts w:ascii="Times New Roman" w:eastAsia="SimSun" w:hAnsi="Times New Roman"/>
          <w:i w:val="0"/>
          <w:noProof w:val="0"/>
          <w:sz w:val="20"/>
          <w:szCs w:val="20"/>
        </w:rPr>
        <w:t xml:space="preserve">to </w:t>
      </w:r>
      <w:r w:rsidR="00B84E1E" w:rsidRPr="00B84E1E">
        <w:rPr>
          <w:rFonts w:ascii="Times New Roman" w:eastAsia="SimSun" w:hAnsi="Times New Roman"/>
          <w:i w:val="0"/>
          <w:noProof w:val="0"/>
          <w:sz w:val="20"/>
          <w:szCs w:val="20"/>
        </w:rPr>
        <w:lastRenderedPageBreak/>
        <w:t xml:space="preserve">deactivate the non-applicable functionality. </w:t>
      </w:r>
      <w:r w:rsidR="00DB72A6" w:rsidRPr="00B84E1E">
        <w:rPr>
          <w:rFonts w:ascii="Times New Roman" w:eastAsia="SimSun" w:hAnsi="Times New Roman"/>
          <w:i w:val="0"/>
          <w:noProof w:val="0"/>
          <w:sz w:val="20"/>
          <w:szCs w:val="20"/>
        </w:rPr>
        <w:t>During this delay</w:t>
      </w:r>
      <w:r w:rsidR="00887BF1" w:rsidRPr="00B84E1E">
        <w:rPr>
          <w:rFonts w:ascii="Times New Roman" w:eastAsia="SimSun" w:hAnsi="Times New Roman"/>
          <w:i w:val="0"/>
          <w:noProof w:val="0"/>
          <w:sz w:val="20"/>
          <w:szCs w:val="20"/>
        </w:rPr>
        <w:t xml:space="preserve">, the UE continues </w:t>
      </w:r>
      <w:r w:rsidR="00DB72A6" w:rsidRPr="00B84E1E">
        <w:rPr>
          <w:rFonts w:ascii="Times New Roman" w:eastAsia="SimSun" w:hAnsi="Times New Roman"/>
          <w:i w:val="0"/>
          <w:noProof w:val="0"/>
          <w:sz w:val="20"/>
          <w:szCs w:val="20"/>
        </w:rPr>
        <w:t xml:space="preserve">operating with the (now non-applicable) </w:t>
      </w:r>
      <w:r w:rsidR="00887BF1" w:rsidRPr="00B84E1E">
        <w:rPr>
          <w:rFonts w:ascii="Times New Roman" w:eastAsia="SimSun" w:hAnsi="Times New Roman"/>
          <w:i w:val="0"/>
          <w:noProof w:val="0"/>
          <w:sz w:val="20"/>
          <w:szCs w:val="20"/>
        </w:rPr>
        <w:t>activated functionality for inference</w:t>
      </w:r>
      <w:r w:rsidR="00536D0A">
        <w:rPr>
          <w:rFonts w:ascii="Times New Roman" w:eastAsia="SimSun" w:hAnsi="Times New Roman"/>
          <w:i w:val="0"/>
          <w:noProof w:val="0"/>
          <w:sz w:val="20"/>
          <w:szCs w:val="20"/>
        </w:rPr>
        <w:t>. This might</w:t>
      </w:r>
      <w:r w:rsidR="00DB72A6" w:rsidRPr="00B84E1E">
        <w:rPr>
          <w:rFonts w:ascii="Times New Roman" w:eastAsia="SimSun" w:hAnsi="Times New Roman"/>
          <w:i w:val="0"/>
          <w:noProof w:val="0"/>
          <w:sz w:val="20"/>
          <w:szCs w:val="20"/>
        </w:rPr>
        <w:t xml:space="preserve"> lead to degraded inference </w:t>
      </w:r>
      <w:r w:rsidR="004B0365" w:rsidRPr="00B84E1E">
        <w:rPr>
          <w:rFonts w:ascii="Times New Roman" w:eastAsia="SimSun" w:hAnsi="Times New Roman"/>
          <w:i w:val="0"/>
          <w:noProof w:val="0"/>
          <w:sz w:val="20"/>
          <w:szCs w:val="20"/>
        </w:rPr>
        <w:t xml:space="preserve">accuracy </w:t>
      </w:r>
      <w:r w:rsidR="00DB72A6" w:rsidRPr="00B84E1E">
        <w:rPr>
          <w:rFonts w:ascii="Times New Roman" w:eastAsia="SimSun" w:hAnsi="Times New Roman"/>
          <w:i w:val="0"/>
          <w:noProof w:val="0"/>
          <w:sz w:val="20"/>
          <w:szCs w:val="20"/>
        </w:rPr>
        <w:t>compared to traditional, non-AI measurements.</w:t>
      </w:r>
      <w:r w:rsidR="004B0365" w:rsidRPr="00B84E1E">
        <w:rPr>
          <w:rFonts w:ascii="Times New Roman" w:eastAsia="SimSun" w:hAnsi="Times New Roman"/>
          <w:i w:val="0"/>
          <w:noProof w:val="0"/>
          <w:sz w:val="20"/>
          <w:szCs w:val="20"/>
        </w:rPr>
        <w:t xml:space="preserve"> </w:t>
      </w:r>
    </w:p>
    <w:p w14:paraId="2E58DF49" w14:textId="1F7B33DF" w:rsidR="004B0365" w:rsidRDefault="00887BF1" w:rsidP="00753689">
      <w:pPr>
        <w:spacing w:after="240"/>
        <w:rPr>
          <w:bCs/>
        </w:rPr>
      </w:pPr>
      <w:r>
        <w:rPr>
          <w:bCs/>
        </w:rPr>
        <w:t xml:space="preserve">To </w:t>
      </w:r>
      <w:r w:rsidR="00DB72A6">
        <w:rPr>
          <w:bCs/>
        </w:rPr>
        <w:t>mitigate</w:t>
      </w:r>
      <w:r>
        <w:rPr>
          <w:bCs/>
        </w:rPr>
        <w:t xml:space="preserve"> the latency and improve the system performance, </w:t>
      </w:r>
      <w:r w:rsidR="00177E81">
        <w:rPr>
          <w:bCs/>
        </w:rPr>
        <w:t xml:space="preserve">the NW can </w:t>
      </w:r>
      <w:r w:rsidR="00DB72A6">
        <w:rPr>
          <w:bCs/>
        </w:rPr>
        <w:t xml:space="preserve">pre-emptively send a deactivation indication </w:t>
      </w:r>
      <w:r w:rsidR="0052656C">
        <w:rPr>
          <w:bCs/>
        </w:rPr>
        <w:t xml:space="preserve">before </w:t>
      </w:r>
      <w:r w:rsidR="00DB72A6">
        <w:rPr>
          <w:bCs/>
        </w:rPr>
        <w:t>receiving</w:t>
      </w:r>
      <w:r w:rsidR="0052656C">
        <w:rPr>
          <w:bCs/>
        </w:rPr>
        <w:t xml:space="preserve"> the non-applicable report</w:t>
      </w:r>
      <w:r w:rsidR="00177E81">
        <w:rPr>
          <w:bCs/>
        </w:rPr>
        <w:t xml:space="preserve">. </w:t>
      </w:r>
      <w:r w:rsidR="00DB72A6">
        <w:rPr>
          <w:bCs/>
        </w:rPr>
        <w:t>I</w:t>
      </w:r>
      <w:r w:rsidR="0052656C">
        <w:rPr>
          <w:bCs/>
        </w:rPr>
        <w:t>f</w:t>
      </w:r>
      <w:r w:rsidR="00177E81">
        <w:rPr>
          <w:bCs/>
        </w:rPr>
        <w:t xml:space="preserve"> the deactivation indication is </w:t>
      </w:r>
      <w:r w:rsidR="0052656C">
        <w:rPr>
          <w:bCs/>
        </w:rPr>
        <w:t>present</w:t>
      </w:r>
      <w:r w:rsidR="00177E81">
        <w:rPr>
          <w:bCs/>
        </w:rPr>
        <w:t xml:space="preserve">, UE </w:t>
      </w:r>
      <w:r w:rsidR="00DB72A6">
        <w:rPr>
          <w:bCs/>
        </w:rPr>
        <w:t>can</w:t>
      </w:r>
      <w:r w:rsidR="00177E81">
        <w:rPr>
          <w:bCs/>
        </w:rPr>
        <w:t xml:space="preserve"> deactivate the activated functionality when it becomes non-applicable. Subsequently, the UE reports the non-applicable information or the deactivation information of the activated functionality to the NW. </w:t>
      </w:r>
      <w:r w:rsidR="00DB72A6">
        <w:rPr>
          <w:bCs/>
        </w:rPr>
        <w:t>If</w:t>
      </w:r>
      <w:r w:rsidR="00177E81">
        <w:rPr>
          <w:bCs/>
        </w:rPr>
        <w:t xml:space="preserve"> the deactivation indication is </w:t>
      </w:r>
      <w:r w:rsidR="0052656C">
        <w:rPr>
          <w:bCs/>
        </w:rPr>
        <w:t>absent</w:t>
      </w:r>
      <w:r w:rsidR="00177E81">
        <w:rPr>
          <w:bCs/>
        </w:rPr>
        <w:t xml:space="preserve">, the UE reports the non-applicable functionality to the NW and </w:t>
      </w:r>
      <w:r w:rsidR="00DB72A6">
        <w:rPr>
          <w:bCs/>
        </w:rPr>
        <w:t xml:space="preserve">waits for </w:t>
      </w:r>
      <w:r w:rsidR="00177E81">
        <w:rPr>
          <w:bCs/>
        </w:rPr>
        <w:t xml:space="preserve">the NW to deactivate </w:t>
      </w:r>
      <w:r w:rsidR="00DB72A6">
        <w:rPr>
          <w:bCs/>
        </w:rPr>
        <w:t>the functionality via a subsequent</w:t>
      </w:r>
      <w:r w:rsidR="00177E81">
        <w:rPr>
          <w:bCs/>
        </w:rPr>
        <w:t xml:space="preserve"> response message.</w:t>
      </w:r>
    </w:p>
    <w:p w14:paraId="046BC615" w14:textId="5AB290D9" w:rsidR="000278A8" w:rsidRPr="000278A8" w:rsidRDefault="004B0365" w:rsidP="002A1E7C">
      <w:pPr>
        <w:spacing w:after="0"/>
        <w:rPr>
          <w:b/>
          <w:bCs/>
        </w:rPr>
      </w:pPr>
      <w:r w:rsidRPr="004B0365">
        <w:rPr>
          <w:b/>
          <w:bCs/>
        </w:rPr>
        <w:t xml:space="preserve">Proposal </w:t>
      </w:r>
      <w:r w:rsidR="0077547C">
        <w:rPr>
          <w:b/>
          <w:bCs/>
        </w:rPr>
        <w:t>5</w:t>
      </w:r>
      <w:r w:rsidRPr="004B0365">
        <w:rPr>
          <w:b/>
          <w:bCs/>
        </w:rPr>
        <w:t xml:space="preserve">: </w:t>
      </w:r>
      <w:r w:rsidR="000278A8" w:rsidRPr="000278A8">
        <w:rPr>
          <w:b/>
          <w:bCs/>
        </w:rPr>
        <w:t>The NW can send a deactivation indication to the UE prior to receiving a non-applicability rep</w:t>
      </w:r>
      <w:r w:rsidR="00B8523A">
        <w:rPr>
          <w:b/>
          <w:bCs/>
        </w:rPr>
        <w:t>ort.  The UE's behaviour depend</w:t>
      </w:r>
      <w:r w:rsidR="009B393B">
        <w:rPr>
          <w:b/>
          <w:bCs/>
        </w:rPr>
        <w:t>s</w:t>
      </w:r>
      <w:r w:rsidR="000278A8" w:rsidRPr="000278A8">
        <w:rPr>
          <w:b/>
          <w:bCs/>
        </w:rPr>
        <w:t>:</w:t>
      </w:r>
    </w:p>
    <w:p w14:paraId="0C9336F8" w14:textId="77777777" w:rsidR="000278A8" w:rsidRPr="000278A8" w:rsidRDefault="000278A8" w:rsidP="00753689">
      <w:pPr>
        <w:pStyle w:val="ListParagraph"/>
        <w:numPr>
          <w:ilvl w:val="0"/>
          <w:numId w:val="21"/>
        </w:numPr>
        <w:spacing w:after="240"/>
        <w:rPr>
          <w:b/>
          <w:bCs/>
        </w:rPr>
      </w:pPr>
      <w:r w:rsidRPr="000278A8">
        <w:rPr>
          <w:b/>
          <w:bCs/>
        </w:rPr>
        <w:t>Deactivation Indication Present: The UE deactivates the previously activated functionality when it becomes non-applicable and informs the NW of the deactivation.</w:t>
      </w:r>
    </w:p>
    <w:p w14:paraId="7AE9D3DA" w14:textId="06B07C53" w:rsidR="000278A8" w:rsidRPr="00C4099E" w:rsidRDefault="000278A8" w:rsidP="00753689">
      <w:pPr>
        <w:pStyle w:val="ListParagraph"/>
        <w:numPr>
          <w:ilvl w:val="0"/>
          <w:numId w:val="21"/>
        </w:numPr>
        <w:spacing w:after="240"/>
        <w:rPr>
          <w:b/>
          <w:bCs/>
        </w:rPr>
      </w:pPr>
      <w:r w:rsidRPr="000278A8">
        <w:rPr>
          <w:b/>
          <w:bCs/>
        </w:rPr>
        <w:t>Deactivation Indication Absent: The UE sends a non-applicability report and expects the NW to deactivate the functionality in a subsequent response.</w:t>
      </w:r>
    </w:p>
    <w:p w14:paraId="7580CB56" w14:textId="051196DB" w:rsidR="009D469C" w:rsidRPr="00EB4580" w:rsidRDefault="00F456D8" w:rsidP="00753689">
      <w:pPr>
        <w:spacing w:after="240"/>
        <w:rPr>
          <w:lang w:eastAsia="zh-CN"/>
        </w:rPr>
      </w:pPr>
      <w:r>
        <w:rPr>
          <w:lang w:eastAsia="zh-CN"/>
        </w:rPr>
        <w:t>To</w:t>
      </w:r>
      <w:r w:rsidR="00923C49" w:rsidRPr="00EB4580">
        <w:rPr>
          <w:lang w:eastAsia="zh-CN"/>
        </w:rPr>
        <w:t xml:space="preserve"> enable the flexible </w:t>
      </w:r>
      <w:r w:rsidR="001159DA">
        <w:rPr>
          <w:lang w:eastAsia="zh-CN"/>
        </w:rPr>
        <w:t>request and reporting</w:t>
      </w:r>
      <w:r w:rsidR="001159DA" w:rsidRPr="00EB4580">
        <w:rPr>
          <w:lang w:eastAsia="zh-CN"/>
        </w:rPr>
        <w:t xml:space="preserve"> </w:t>
      </w:r>
      <w:r w:rsidR="00923C49" w:rsidRPr="00EB4580">
        <w:rPr>
          <w:lang w:eastAsia="zh-CN"/>
        </w:rPr>
        <w:t>for the applicable functionality</w:t>
      </w:r>
      <w:r w:rsidR="00E831CC">
        <w:rPr>
          <w:lang w:eastAsia="zh-CN"/>
        </w:rPr>
        <w:t>,</w:t>
      </w:r>
      <w:r w:rsidR="00923C49" w:rsidRPr="00EB4580">
        <w:rPr>
          <w:lang w:eastAsia="zh-CN"/>
        </w:rPr>
        <w:t xml:space="preserve"> the NW can</w:t>
      </w:r>
      <w:r w:rsidR="009D469C" w:rsidRPr="00EB4580">
        <w:rPr>
          <w:lang w:eastAsia="zh-CN"/>
        </w:rPr>
        <w:t xml:space="preserve"> configure the request in the RRC Resume and Reestablishment messages. Correspondingly, the UE can indicate the applicable functionality information in the RRC Resume/Reestablishment Complete messages</w:t>
      </w:r>
      <w:r w:rsidR="00E831CC">
        <w:rPr>
          <w:lang w:eastAsia="zh-CN"/>
        </w:rPr>
        <w:t xml:space="preserve"> respectively</w:t>
      </w:r>
      <w:r w:rsidR="009D469C" w:rsidRPr="00EB4580">
        <w:rPr>
          <w:lang w:eastAsia="zh-CN"/>
        </w:rPr>
        <w:t>.</w:t>
      </w:r>
    </w:p>
    <w:p w14:paraId="27439231" w14:textId="7BCB1DA1" w:rsidR="00C15CB9" w:rsidRDefault="009D469C" w:rsidP="00753689">
      <w:pPr>
        <w:spacing w:after="240"/>
        <w:rPr>
          <w:b/>
          <w:lang w:eastAsia="zh-CN"/>
        </w:rPr>
      </w:pPr>
      <w:r w:rsidRPr="00EB4580">
        <w:rPr>
          <w:b/>
          <w:lang w:eastAsia="zh-CN"/>
        </w:rPr>
        <w:t xml:space="preserve">Proposal </w:t>
      </w:r>
      <w:r w:rsidR="0077547C">
        <w:rPr>
          <w:b/>
          <w:lang w:eastAsia="zh-CN"/>
        </w:rPr>
        <w:t>6</w:t>
      </w:r>
      <w:r w:rsidRPr="00EB4580">
        <w:rPr>
          <w:b/>
          <w:lang w:eastAsia="zh-CN"/>
        </w:rPr>
        <w:t xml:space="preserve">: RRC Resume and Reestablishment procedures can be used for </w:t>
      </w:r>
      <w:r w:rsidR="00BA1DC4">
        <w:rPr>
          <w:b/>
          <w:lang w:eastAsia="zh-CN"/>
        </w:rPr>
        <w:t>the configuration of inference configurations/parameters and applicability reporting</w:t>
      </w:r>
      <w:r w:rsidRPr="00EB4580">
        <w:rPr>
          <w:b/>
          <w:lang w:eastAsia="zh-CN"/>
        </w:rPr>
        <w:t>.</w:t>
      </w:r>
    </w:p>
    <w:p w14:paraId="32F090BC" w14:textId="08110605" w:rsidR="005D32B2" w:rsidRDefault="005D32B2" w:rsidP="00895A8D">
      <w:pPr>
        <w:pStyle w:val="Heading2"/>
        <w:numPr>
          <w:ilvl w:val="1"/>
          <w:numId w:val="28"/>
        </w:numPr>
        <w:ind w:hanging="792"/>
      </w:pPr>
      <w:r>
        <w:t>Data Collection for UE-side</w:t>
      </w:r>
      <w:r w:rsidR="009C4C15">
        <w:t>d</w:t>
      </w:r>
      <w:r>
        <w:t xml:space="preserve"> </w:t>
      </w:r>
      <w:r w:rsidR="009C4C15">
        <w:t>M</w:t>
      </w:r>
      <w:r>
        <w:t>odel</w:t>
      </w:r>
    </w:p>
    <w:p w14:paraId="1D23D03B" w14:textId="0E2EF80A" w:rsidR="008B6E23" w:rsidRDefault="00806AD0" w:rsidP="00BA656B">
      <w:pPr>
        <w:pStyle w:val="Heading3"/>
        <w:numPr>
          <w:ilvl w:val="2"/>
          <w:numId w:val="28"/>
        </w:numPr>
        <w:ind w:hanging="1224"/>
      </w:pPr>
      <w:r>
        <w:t>D</w:t>
      </w:r>
      <w:r w:rsidR="003E58BB" w:rsidRPr="00EE74A9">
        <w:t xml:space="preserve">ata </w:t>
      </w:r>
      <w:r w:rsidR="00692F4F">
        <w:t>C</w:t>
      </w:r>
      <w:r w:rsidR="003E58BB" w:rsidRPr="00EE74A9">
        <w:t xml:space="preserve">ollection </w:t>
      </w:r>
      <w:r w:rsidR="00692F4F">
        <w:t>C</w:t>
      </w:r>
      <w:r w:rsidR="003E58BB" w:rsidRPr="00EE74A9">
        <w:t xml:space="preserve">onfiguration </w:t>
      </w:r>
      <w:r w:rsidR="00CC3461">
        <w:t>Procedure</w:t>
      </w:r>
    </w:p>
    <w:p w14:paraId="02622D58" w14:textId="3A13D601" w:rsidR="003E58BB" w:rsidRPr="008B6E23" w:rsidRDefault="008B6E23" w:rsidP="008B6E23">
      <w:pPr>
        <w:rPr>
          <w:b/>
          <w:i/>
          <w:u w:val="single"/>
        </w:rPr>
      </w:pPr>
      <w:r>
        <w:rPr>
          <w:b/>
          <w:i/>
          <w:u w:val="single"/>
        </w:rPr>
        <w:t>D</w:t>
      </w:r>
      <w:r w:rsidRPr="008B6E23">
        <w:rPr>
          <w:b/>
          <w:i/>
          <w:u w:val="single"/>
        </w:rPr>
        <w:t xml:space="preserve">ata Collection Configuration </w:t>
      </w:r>
      <w:r w:rsidR="003E58BB" w:rsidRPr="008B6E23">
        <w:rPr>
          <w:b/>
          <w:i/>
          <w:u w:val="single"/>
        </w:rPr>
        <w:t xml:space="preserve">with UE </w:t>
      </w:r>
      <w:r w:rsidR="00692F4F" w:rsidRPr="008B6E23">
        <w:rPr>
          <w:b/>
          <w:i/>
          <w:u w:val="single"/>
        </w:rPr>
        <w:t>R</w:t>
      </w:r>
      <w:r w:rsidR="003E58BB" w:rsidRPr="008B6E23">
        <w:rPr>
          <w:b/>
          <w:i/>
          <w:u w:val="single"/>
        </w:rPr>
        <w:t>equest</w:t>
      </w:r>
    </w:p>
    <w:p w14:paraId="3E2B186F" w14:textId="2A3B53E4" w:rsidR="004225B1" w:rsidRDefault="003E58BB" w:rsidP="008801E4">
      <w:pPr>
        <w:pStyle w:val="Comments"/>
        <w:spacing w:before="0" w:after="240"/>
        <w:rPr>
          <w:rFonts w:ascii="Times New Roman" w:eastAsia="SimSun" w:hAnsi="Times New Roman"/>
          <w:i w:val="0"/>
          <w:noProof w:val="0"/>
          <w:sz w:val="20"/>
          <w:szCs w:val="20"/>
          <w:lang w:val="en-US"/>
        </w:rPr>
      </w:pPr>
      <w:r>
        <w:rPr>
          <w:rFonts w:ascii="Times New Roman" w:eastAsia="SimSun" w:hAnsi="Times New Roman"/>
          <w:i w:val="0"/>
          <w:noProof w:val="0"/>
          <w:sz w:val="20"/>
          <w:szCs w:val="20"/>
          <w:lang w:val="en-US"/>
        </w:rPr>
        <w:t xml:space="preserve">In </w:t>
      </w:r>
      <w:r w:rsidR="00806AD0">
        <w:rPr>
          <w:rFonts w:ascii="Times New Roman" w:eastAsia="SimSun" w:hAnsi="Times New Roman"/>
          <w:i w:val="0"/>
          <w:noProof w:val="0"/>
          <w:sz w:val="20"/>
          <w:szCs w:val="20"/>
          <w:lang w:val="en-US"/>
        </w:rPr>
        <w:t>this</w:t>
      </w:r>
      <w:r>
        <w:rPr>
          <w:rFonts w:ascii="Times New Roman" w:eastAsia="SimSun" w:hAnsi="Times New Roman"/>
          <w:i w:val="0"/>
          <w:noProof w:val="0"/>
          <w:sz w:val="20"/>
          <w:szCs w:val="20"/>
          <w:lang w:val="en-US"/>
        </w:rPr>
        <w:t xml:space="preserve"> approach, the NW </w:t>
      </w:r>
      <w:r w:rsidR="005E6BE5">
        <w:rPr>
          <w:rFonts w:ascii="Times New Roman" w:eastAsia="SimSun" w:hAnsi="Times New Roman"/>
          <w:i w:val="0"/>
          <w:noProof w:val="0"/>
          <w:sz w:val="20"/>
          <w:szCs w:val="20"/>
          <w:lang w:val="en-US"/>
        </w:rPr>
        <w:t>firstly</w:t>
      </w:r>
      <w:r>
        <w:rPr>
          <w:rFonts w:ascii="Times New Roman" w:eastAsia="SimSun" w:hAnsi="Times New Roman"/>
          <w:i w:val="0"/>
          <w:noProof w:val="0"/>
          <w:sz w:val="20"/>
          <w:szCs w:val="20"/>
          <w:lang w:val="en-US"/>
        </w:rPr>
        <w:t xml:space="preserve"> configure</w:t>
      </w:r>
      <w:r w:rsidR="005E6BE5">
        <w:rPr>
          <w:rFonts w:ascii="Times New Roman" w:eastAsia="SimSun" w:hAnsi="Times New Roman"/>
          <w:i w:val="0"/>
          <w:noProof w:val="0"/>
          <w:sz w:val="20"/>
          <w:szCs w:val="20"/>
          <w:lang w:val="en-US"/>
        </w:rPr>
        <w:t xml:space="preserve">s that </w:t>
      </w:r>
      <w:r>
        <w:rPr>
          <w:rFonts w:ascii="Times New Roman" w:eastAsia="SimSun" w:hAnsi="Times New Roman"/>
          <w:i w:val="0"/>
          <w:noProof w:val="0"/>
          <w:sz w:val="20"/>
          <w:szCs w:val="20"/>
          <w:lang w:val="en-US"/>
        </w:rPr>
        <w:t xml:space="preserve">a UE is allowed to initiate request for data collection. </w:t>
      </w:r>
      <w:r w:rsidR="005E6BE5">
        <w:rPr>
          <w:rFonts w:ascii="Times New Roman" w:eastAsia="SimSun" w:hAnsi="Times New Roman"/>
          <w:i w:val="0"/>
          <w:noProof w:val="0"/>
          <w:sz w:val="20"/>
          <w:szCs w:val="20"/>
          <w:lang w:val="en-US"/>
        </w:rPr>
        <w:t>Then, the</w:t>
      </w:r>
      <w:r>
        <w:rPr>
          <w:rFonts w:ascii="Times New Roman" w:eastAsia="SimSun" w:hAnsi="Times New Roman"/>
          <w:i w:val="0"/>
          <w:noProof w:val="0"/>
          <w:sz w:val="20"/>
          <w:szCs w:val="20"/>
          <w:lang w:val="en-US"/>
        </w:rPr>
        <w:t xml:space="preserve"> UE </w:t>
      </w:r>
      <w:r w:rsidR="005E6BE5">
        <w:rPr>
          <w:rFonts w:ascii="Times New Roman" w:eastAsia="SimSun" w:hAnsi="Times New Roman"/>
          <w:i w:val="0"/>
          <w:noProof w:val="0"/>
          <w:sz w:val="20"/>
          <w:szCs w:val="20"/>
          <w:lang w:val="en-US"/>
        </w:rPr>
        <w:t>i</w:t>
      </w:r>
      <w:r>
        <w:rPr>
          <w:rFonts w:ascii="Times New Roman" w:eastAsia="SimSun" w:hAnsi="Times New Roman"/>
          <w:i w:val="0"/>
          <w:noProof w:val="0"/>
          <w:sz w:val="20"/>
          <w:szCs w:val="20"/>
          <w:lang w:val="en-US"/>
        </w:rPr>
        <w:t>nitiate</w:t>
      </w:r>
      <w:r w:rsidR="005E6BE5">
        <w:rPr>
          <w:rFonts w:ascii="Times New Roman" w:eastAsia="SimSun" w:hAnsi="Times New Roman"/>
          <w:i w:val="0"/>
          <w:noProof w:val="0"/>
          <w:sz w:val="20"/>
          <w:szCs w:val="20"/>
          <w:lang w:val="en-US"/>
        </w:rPr>
        <w:t>s</w:t>
      </w:r>
      <w:r>
        <w:rPr>
          <w:rFonts w:ascii="Times New Roman" w:eastAsia="SimSun" w:hAnsi="Times New Roman"/>
          <w:i w:val="0"/>
          <w:noProof w:val="0"/>
          <w:sz w:val="20"/>
          <w:szCs w:val="20"/>
          <w:lang w:val="en-US"/>
        </w:rPr>
        <w:t xml:space="preserve"> </w:t>
      </w:r>
      <w:r w:rsidR="005E6BE5">
        <w:rPr>
          <w:rFonts w:ascii="Times New Roman" w:eastAsia="SimSun" w:hAnsi="Times New Roman"/>
          <w:i w:val="0"/>
          <w:noProof w:val="0"/>
          <w:sz w:val="20"/>
          <w:szCs w:val="20"/>
          <w:lang w:val="en-US"/>
        </w:rPr>
        <w:t>a</w:t>
      </w:r>
      <w:r>
        <w:rPr>
          <w:rFonts w:ascii="Times New Roman" w:eastAsia="SimSun" w:hAnsi="Times New Roman"/>
          <w:i w:val="0"/>
          <w:noProof w:val="0"/>
          <w:sz w:val="20"/>
          <w:szCs w:val="20"/>
          <w:lang w:val="en-US"/>
        </w:rPr>
        <w:t xml:space="preserve"> data collection request. Based on UE capability, the UE</w:t>
      </w:r>
      <w:r w:rsidRPr="00FB19F5">
        <w:rPr>
          <w:rFonts w:ascii="Times New Roman" w:eastAsia="SimSun" w:hAnsi="Times New Roman"/>
          <w:i w:val="0"/>
          <w:noProof w:val="0"/>
          <w:sz w:val="20"/>
          <w:szCs w:val="20"/>
          <w:lang w:val="en-US"/>
        </w:rPr>
        <w:t xml:space="preserve"> may support model training fo</w:t>
      </w:r>
      <w:r>
        <w:rPr>
          <w:rFonts w:ascii="Times New Roman" w:eastAsia="SimSun" w:hAnsi="Times New Roman"/>
          <w:i w:val="0"/>
          <w:noProof w:val="0"/>
          <w:sz w:val="20"/>
          <w:szCs w:val="20"/>
          <w:lang w:val="en-US"/>
        </w:rPr>
        <w:t>r</w:t>
      </w:r>
      <w:r w:rsidRPr="00FB19F5">
        <w:rPr>
          <w:rFonts w:ascii="Times New Roman" w:eastAsia="SimSun" w:hAnsi="Times New Roman"/>
          <w:i w:val="0"/>
          <w:noProof w:val="0"/>
          <w:sz w:val="20"/>
          <w:szCs w:val="20"/>
          <w:lang w:val="en-US"/>
        </w:rPr>
        <w:t xml:space="preserve"> </w:t>
      </w:r>
      <w:r>
        <w:rPr>
          <w:rFonts w:ascii="Times New Roman" w:eastAsia="SimSun" w:hAnsi="Times New Roman"/>
          <w:i w:val="0"/>
          <w:noProof w:val="0"/>
          <w:sz w:val="20"/>
          <w:szCs w:val="20"/>
          <w:lang w:val="en-US"/>
        </w:rPr>
        <w:t xml:space="preserve">specific use case(s), </w:t>
      </w:r>
      <w:r w:rsidRPr="00FB19F5">
        <w:rPr>
          <w:rFonts w:ascii="Times New Roman" w:eastAsia="SimSun" w:hAnsi="Times New Roman"/>
          <w:i w:val="0"/>
          <w:noProof w:val="0"/>
          <w:sz w:val="20"/>
          <w:szCs w:val="20"/>
          <w:lang w:val="en-US"/>
        </w:rPr>
        <w:t>features or feature groups.</w:t>
      </w:r>
      <w:r>
        <w:rPr>
          <w:rFonts w:ascii="Times New Roman" w:eastAsia="SimSun" w:hAnsi="Times New Roman"/>
          <w:i w:val="0"/>
          <w:noProof w:val="0"/>
          <w:sz w:val="20"/>
          <w:szCs w:val="20"/>
          <w:lang w:val="en-US"/>
        </w:rPr>
        <w:t xml:space="preserve"> </w:t>
      </w:r>
      <w:r w:rsidR="004225B1">
        <w:rPr>
          <w:rFonts w:ascii="Times New Roman" w:eastAsia="SimSun" w:hAnsi="Times New Roman"/>
          <w:i w:val="0"/>
          <w:noProof w:val="0"/>
          <w:sz w:val="20"/>
          <w:szCs w:val="20"/>
          <w:lang w:val="en-US"/>
        </w:rPr>
        <w:t xml:space="preserve">In a simple method, the UE provides its data collection capabilities and the NW provides data collection configurations aligned with these capabilities upon receiving a request indicator for data collection. </w:t>
      </w:r>
    </w:p>
    <w:p w14:paraId="0B72369B" w14:textId="171AA51D" w:rsidR="003E58BB" w:rsidRDefault="004225B1" w:rsidP="008801E4">
      <w:pPr>
        <w:pStyle w:val="Comments"/>
        <w:spacing w:before="0" w:after="240"/>
        <w:rPr>
          <w:rFonts w:ascii="Times New Roman" w:eastAsia="SimSun" w:hAnsi="Times New Roman"/>
          <w:i w:val="0"/>
          <w:noProof w:val="0"/>
          <w:sz w:val="20"/>
          <w:szCs w:val="20"/>
          <w:lang w:val="en-US"/>
        </w:rPr>
      </w:pPr>
      <w:r>
        <w:rPr>
          <w:rFonts w:ascii="Times New Roman" w:eastAsia="SimSun" w:hAnsi="Times New Roman"/>
          <w:i w:val="0"/>
          <w:noProof w:val="0"/>
          <w:sz w:val="20"/>
          <w:szCs w:val="20"/>
          <w:lang w:val="en-US"/>
        </w:rPr>
        <w:t>However, t</w:t>
      </w:r>
      <w:r w:rsidR="003E58BB">
        <w:rPr>
          <w:rFonts w:ascii="Times New Roman" w:eastAsia="SimSun" w:hAnsi="Times New Roman"/>
          <w:i w:val="0"/>
          <w:noProof w:val="0"/>
          <w:sz w:val="20"/>
          <w:szCs w:val="20"/>
          <w:lang w:val="en-US"/>
        </w:rPr>
        <w:t xml:space="preserve">he UE </w:t>
      </w:r>
      <w:r>
        <w:rPr>
          <w:rFonts w:ascii="Times New Roman" w:eastAsia="SimSun" w:hAnsi="Times New Roman"/>
          <w:i w:val="0"/>
          <w:noProof w:val="0"/>
          <w:sz w:val="20"/>
          <w:szCs w:val="20"/>
          <w:lang w:val="en-US"/>
        </w:rPr>
        <w:t xml:space="preserve">might only want </w:t>
      </w:r>
      <w:r w:rsidR="003E58BB">
        <w:rPr>
          <w:rFonts w:ascii="Times New Roman" w:eastAsia="SimSun" w:hAnsi="Times New Roman"/>
          <w:i w:val="0"/>
          <w:noProof w:val="0"/>
          <w:sz w:val="20"/>
          <w:szCs w:val="20"/>
          <w:lang w:val="en-US"/>
        </w:rPr>
        <w:t xml:space="preserve">to perform data collection for </w:t>
      </w:r>
      <w:r>
        <w:rPr>
          <w:rFonts w:ascii="Times New Roman" w:eastAsia="SimSun" w:hAnsi="Times New Roman"/>
          <w:i w:val="0"/>
          <w:noProof w:val="0"/>
          <w:sz w:val="20"/>
          <w:szCs w:val="20"/>
          <w:lang w:val="en-US"/>
        </w:rPr>
        <w:t>some specific</w:t>
      </w:r>
      <w:r w:rsidR="003E58BB">
        <w:rPr>
          <w:rFonts w:ascii="Times New Roman" w:eastAsia="SimSun" w:hAnsi="Times New Roman"/>
          <w:i w:val="0"/>
          <w:noProof w:val="0"/>
          <w:sz w:val="20"/>
          <w:szCs w:val="20"/>
          <w:lang w:val="en-US"/>
        </w:rPr>
        <w:t xml:space="preserve"> model(s) training</w:t>
      </w:r>
      <w:r>
        <w:rPr>
          <w:rFonts w:ascii="Times New Roman" w:eastAsia="SimSun" w:hAnsi="Times New Roman"/>
          <w:i w:val="0"/>
          <w:noProof w:val="0"/>
          <w:sz w:val="20"/>
          <w:szCs w:val="20"/>
          <w:lang w:val="en-US"/>
        </w:rPr>
        <w:t>. With the above method, it is possible that the data collection configurations from the NW is for the models(s) which is not the preferred one but within UE’s capability. To improve the efficiency for UE-side data collection, i</w:t>
      </w:r>
      <w:r w:rsidR="003E58BB">
        <w:rPr>
          <w:rFonts w:ascii="Times New Roman" w:eastAsia="SimSun" w:hAnsi="Times New Roman"/>
          <w:i w:val="0"/>
          <w:noProof w:val="0"/>
          <w:sz w:val="20"/>
          <w:szCs w:val="20"/>
          <w:lang w:val="en-US"/>
        </w:rPr>
        <w:t xml:space="preserve">t is straightforward to for the UE to provide its </w:t>
      </w:r>
      <w:r w:rsidR="003E58BB" w:rsidRPr="00A307AA">
        <w:rPr>
          <w:rFonts w:ascii="Times New Roman" w:eastAsia="SimSun" w:hAnsi="Times New Roman"/>
          <w:i w:val="0"/>
          <w:noProof w:val="0"/>
          <w:sz w:val="20"/>
          <w:szCs w:val="20"/>
          <w:lang w:val="en-US"/>
        </w:rPr>
        <w:t>suggested data collection configuration/associated IDs (if specified</w:t>
      </w:r>
      <w:r w:rsidR="003E58BB">
        <w:rPr>
          <w:rFonts w:ascii="Times New Roman" w:eastAsia="SimSun" w:hAnsi="Times New Roman"/>
          <w:i w:val="0"/>
          <w:noProof w:val="0"/>
          <w:sz w:val="20"/>
          <w:szCs w:val="20"/>
          <w:lang w:val="en-US"/>
        </w:rPr>
        <w:t xml:space="preserve"> and known by the UE</w:t>
      </w:r>
      <w:r w:rsidR="003E58BB" w:rsidRPr="00A307AA">
        <w:rPr>
          <w:rFonts w:ascii="Times New Roman" w:eastAsia="SimSun" w:hAnsi="Times New Roman"/>
          <w:i w:val="0"/>
          <w:noProof w:val="0"/>
          <w:sz w:val="20"/>
          <w:szCs w:val="20"/>
          <w:lang w:val="en-US"/>
        </w:rPr>
        <w:t>)/parameters</w:t>
      </w:r>
      <w:r w:rsidR="003E58BB">
        <w:rPr>
          <w:rFonts w:ascii="Times New Roman" w:eastAsia="SimSun" w:hAnsi="Times New Roman"/>
          <w:i w:val="0"/>
          <w:noProof w:val="0"/>
          <w:sz w:val="20"/>
          <w:szCs w:val="20"/>
          <w:lang w:val="en-US"/>
        </w:rPr>
        <w:t xml:space="preserve">. </w:t>
      </w:r>
    </w:p>
    <w:p w14:paraId="37A57D2D" w14:textId="1358276E" w:rsidR="003E58BB" w:rsidRPr="007316FD" w:rsidRDefault="003E58BB" w:rsidP="008801E4">
      <w:pPr>
        <w:pStyle w:val="Comments"/>
        <w:spacing w:before="0" w:after="240"/>
        <w:rPr>
          <w:rFonts w:ascii="Times New Roman" w:eastAsia="SimSun" w:hAnsi="Times New Roman"/>
          <w:b/>
          <w:i w:val="0"/>
          <w:noProof w:val="0"/>
          <w:sz w:val="20"/>
          <w:szCs w:val="20"/>
          <w:lang w:val="en-US"/>
        </w:rPr>
      </w:pPr>
      <w:r w:rsidRPr="007316FD">
        <w:rPr>
          <w:rFonts w:ascii="Times New Roman" w:eastAsia="SimSun" w:hAnsi="Times New Roman"/>
          <w:b/>
          <w:i w:val="0"/>
          <w:noProof w:val="0"/>
          <w:sz w:val="20"/>
          <w:szCs w:val="20"/>
          <w:lang w:val="en-US"/>
        </w:rPr>
        <w:t>Proposal</w:t>
      </w:r>
      <w:r>
        <w:rPr>
          <w:rFonts w:ascii="Times New Roman" w:eastAsia="SimSun" w:hAnsi="Times New Roman"/>
          <w:b/>
          <w:i w:val="0"/>
          <w:noProof w:val="0"/>
          <w:sz w:val="20"/>
          <w:szCs w:val="20"/>
          <w:lang w:val="en-US"/>
        </w:rPr>
        <w:t xml:space="preserve"> </w:t>
      </w:r>
      <w:r w:rsidR="00E630C3">
        <w:rPr>
          <w:rFonts w:ascii="Times New Roman" w:eastAsia="SimSun" w:hAnsi="Times New Roman"/>
          <w:b/>
          <w:i w:val="0"/>
          <w:noProof w:val="0"/>
          <w:sz w:val="20"/>
          <w:szCs w:val="20"/>
          <w:lang w:val="en-US"/>
        </w:rPr>
        <w:t>7</w:t>
      </w:r>
      <w:r w:rsidRPr="007316FD">
        <w:rPr>
          <w:rFonts w:ascii="Times New Roman" w:eastAsia="SimSun" w:hAnsi="Times New Roman"/>
          <w:b/>
          <w:i w:val="0"/>
          <w:noProof w:val="0"/>
          <w:sz w:val="20"/>
          <w:szCs w:val="20"/>
          <w:lang w:val="en-US"/>
        </w:rPr>
        <w:t xml:space="preserve">: </w:t>
      </w:r>
      <w:r w:rsidR="008D6561">
        <w:rPr>
          <w:rFonts w:ascii="Times New Roman" w:eastAsia="SimSun" w:hAnsi="Times New Roman"/>
          <w:b/>
          <w:i w:val="0"/>
          <w:noProof w:val="0"/>
          <w:sz w:val="20"/>
          <w:szCs w:val="20"/>
          <w:lang w:val="en-US"/>
        </w:rPr>
        <w:t>For d</w:t>
      </w:r>
      <w:r w:rsidR="008D6561" w:rsidRPr="008D6561">
        <w:rPr>
          <w:rFonts w:ascii="Times New Roman" w:eastAsia="SimSun" w:hAnsi="Times New Roman"/>
          <w:b/>
          <w:i w:val="0"/>
          <w:noProof w:val="0"/>
          <w:sz w:val="20"/>
          <w:szCs w:val="20"/>
          <w:lang w:val="en-US"/>
        </w:rPr>
        <w:t xml:space="preserve">ata </w:t>
      </w:r>
      <w:r w:rsidR="008D6561">
        <w:rPr>
          <w:rFonts w:ascii="Times New Roman" w:eastAsia="SimSun" w:hAnsi="Times New Roman"/>
          <w:b/>
          <w:i w:val="0"/>
          <w:noProof w:val="0"/>
          <w:sz w:val="20"/>
          <w:szCs w:val="20"/>
          <w:lang w:val="en-US"/>
        </w:rPr>
        <w:t>c</w:t>
      </w:r>
      <w:r w:rsidR="008D6561" w:rsidRPr="008D6561">
        <w:rPr>
          <w:rFonts w:ascii="Times New Roman" w:eastAsia="SimSun" w:hAnsi="Times New Roman"/>
          <w:b/>
          <w:i w:val="0"/>
          <w:noProof w:val="0"/>
          <w:sz w:val="20"/>
          <w:szCs w:val="20"/>
          <w:lang w:val="en-US"/>
        </w:rPr>
        <w:t xml:space="preserve">ollection </w:t>
      </w:r>
      <w:r w:rsidR="008D6561">
        <w:rPr>
          <w:rFonts w:ascii="Times New Roman" w:eastAsia="SimSun" w:hAnsi="Times New Roman"/>
          <w:b/>
          <w:i w:val="0"/>
          <w:noProof w:val="0"/>
          <w:sz w:val="20"/>
          <w:szCs w:val="20"/>
          <w:lang w:val="en-US"/>
        </w:rPr>
        <w:t>c</w:t>
      </w:r>
      <w:r w:rsidR="008D6561" w:rsidRPr="008D6561">
        <w:rPr>
          <w:rFonts w:ascii="Times New Roman" w:eastAsia="SimSun" w:hAnsi="Times New Roman"/>
          <w:b/>
          <w:i w:val="0"/>
          <w:noProof w:val="0"/>
          <w:sz w:val="20"/>
          <w:szCs w:val="20"/>
          <w:lang w:val="en-US"/>
        </w:rPr>
        <w:t xml:space="preserve">onfiguration with UE </w:t>
      </w:r>
      <w:r w:rsidR="008D6561">
        <w:rPr>
          <w:rFonts w:ascii="Times New Roman" w:eastAsia="SimSun" w:hAnsi="Times New Roman"/>
          <w:b/>
          <w:i w:val="0"/>
          <w:noProof w:val="0"/>
          <w:sz w:val="20"/>
          <w:szCs w:val="20"/>
          <w:lang w:val="en-US"/>
        </w:rPr>
        <w:t>r</w:t>
      </w:r>
      <w:r w:rsidR="008D6561" w:rsidRPr="008D6561">
        <w:rPr>
          <w:rFonts w:ascii="Times New Roman" w:eastAsia="SimSun" w:hAnsi="Times New Roman"/>
          <w:b/>
          <w:i w:val="0"/>
          <w:noProof w:val="0"/>
          <w:sz w:val="20"/>
          <w:szCs w:val="20"/>
          <w:lang w:val="en-US"/>
        </w:rPr>
        <w:t>equest</w:t>
      </w:r>
      <w:r w:rsidR="008D6561">
        <w:rPr>
          <w:rFonts w:ascii="Times New Roman" w:eastAsia="SimSun" w:hAnsi="Times New Roman"/>
          <w:b/>
          <w:i w:val="0"/>
          <w:noProof w:val="0"/>
          <w:sz w:val="20"/>
          <w:szCs w:val="20"/>
          <w:lang w:val="en-US"/>
        </w:rPr>
        <w:t>, t</w:t>
      </w:r>
      <w:r w:rsidRPr="007316FD">
        <w:rPr>
          <w:rFonts w:ascii="Times New Roman" w:eastAsia="SimSun" w:hAnsi="Times New Roman"/>
          <w:b/>
          <w:i w:val="0"/>
          <w:noProof w:val="0"/>
          <w:sz w:val="20"/>
          <w:szCs w:val="20"/>
          <w:lang w:val="en-US"/>
        </w:rPr>
        <w:t xml:space="preserve">he </w:t>
      </w:r>
      <w:r>
        <w:rPr>
          <w:rFonts w:ascii="Times New Roman" w:eastAsia="SimSun" w:hAnsi="Times New Roman"/>
          <w:b/>
          <w:i w:val="0"/>
          <w:noProof w:val="0"/>
          <w:sz w:val="20"/>
          <w:szCs w:val="20"/>
          <w:lang w:val="en-US"/>
        </w:rPr>
        <w:t xml:space="preserve">UE provides </w:t>
      </w:r>
      <w:r w:rsidRPr="00F72B65">
        <w:rPr>
          <w:rFonts w:ascii="Times New Roman" w:eastAsia="SimSun" w:hAnsi="Times New Roman"/>
          <w:b/>
          <w:i w:val="0"/>
          <w:noProof w:val="0"/>
          <w:sz w:val="20"/>
          <w:szCs w:val="20"/>
          <w:lang w:val="en-US"/>
        </w:rPr>
        <w:t>suggested data collection configuration</w:t>
      </w:r>
      <w:r w:rsidR="00F41C8C">
        <w:rPr>
          <w:rFonts w:ascii="Times New Roman" w:eastAsia="SimSun" w:hAnsi="Times New Roman"/>
          <w:b/>
          <w:i w:val="0"/>
          <w:noProof w:val="0"/>
          <w:sz w:val="20"/>
          <w:szCs w:val="20"/>
          <w:lang w:val="en-US"/>
        </w:rPr>
        <w:t>s</w:t>
      </w:r>
      <w:r w:rsidRPr="00F72B65">
        <w:rPr>
          <w:rFonts w:ascii="Times New Roman" w:eastAsia="SimSun" w:hAnsi="Times New Roman"/>
          <w:b/>
          <w:i w:val="0"/>
          <w:noProof w:val="0"/>
          <w:sz w:val="20"/>
          <w:szCs w:val="20"/>
          <w:lang w:val="en-US"/>
        </w:rPr>
        <w:t>/associated IDs (if specified and known by the UE)/parameters</w:t>
      </w:r>
      <w:r>
        <w:rPr>
          <w:rFonts w:ascii="Times New Roman" w:eastAsia="SimSun" w:hAnsi="Times New Roman"/>
          <w:b/>
          <w:i w:val="0"/>
          <w:noProof w:val="0"/>
          <w:sz w:val="20"/>
          <w:szCs w:val="20"/>
          <w:lang w:val="en-US"/>
        </w:rPr>
        <w:t xml:space="preserve"> in the </w:t>
      </w:r>
      <w:r w:rsidRPr="007316FD">
        <w:rPr>
          <w:rFonts w:ascii="Times New Roman" w:eastAsia="SimSun" w:hAnsi="Times New Roman"/>
          <w:b/>
          <w:i w:val="0"/>
          <w:noProof w:val="0"/>
          <w:sz w:val="20"/>
          <w:szCs w:val="20"/>
          <w:lang w:val="en-US"/>
        </w:rPr>
        <w:t>data collection request</w:t>
      </w:r>
      <w:r>
        <w:rPr>
          <w:rFonts w:ascii="Times New Roman" w:eastAsia="SimSun" w:hAnsi="Times New Roman"/>
          <w:b/>
          <w:i w:val="0"/>
          <w:noProof w:val="0"/>
          <w:sz w:val="20"/>
          <w:szCs w:val="20"/>
          <w:lang w:val="en-US"/>
        </w:rPr>
        <w:t>.</w:t>
      </w:r>
    </w:p>
    <w:p w14:paraId="62BFFFE7" w14:textId="504F41D8" w:rsidR="003E58BB" w:rsidRDefault="003E58BB" w:rsidP="008801E4">
      <w:pPr>
        <w:spacing w:after="240"/>
        <w:rPr>
          <w:lang w:val="en-US"/>
        </w:rPr>
      </w:pPr>
      <w:r>
        <w:rPr>
          <w:lang w:val="en-US"/>
        </w:rPr>
        <w:t xml:space="preserve">Upon receiving the </w:t>
      </w:r>
      <w:r w:rsidRPr="006D1D5A">
        <w:rPr>
          <w:lang w:val="en-US"/>
        </w:rPr>
        <w:t>data collection</w:t>
      </w:r>
      <w:r>
        <w:rPr>
          <w:lang w:val="en-US"/>
        </w:rPr>
        <w:t xml:space="preserve"> request</w:t>
      </w:r>
      <w:r w:rsidRPr="006D1D5A">
        <w:rPr>
          <w:lang w:val="en-US"/>
        </w:rPr>
        <w:t xml:space="preserve">, </w:t>
      </w:r>
      <w:r w:rsidR="00F41C8C">
        <w:rPr>
          <w:lang w:val="en-US"/>
        </w:rPr>
        <w:t>t</w:t>
      </w:r>
      <w:r w:rsidRPr="006D1D5A">
        <w:rPr>
          <w:lang w:val="en-US"/>
        </w:rPr>
        <w:t xml:space="preserve">he NW </w:t>
      </w:r>
      <w:r>
        <w:rPr>
          <w:lang w:val="en-US"/>
        </w:rPr>
        <w:t xml:space="preserve">can </w:t>
      </w:r>
      <w:r w:rsidR="00E45194">
        <w:rPr>
          <w:lang w:val="en-US"/>
        </w:rPr>
        <w:t>configure</w:t>
      </w:r>
      <w:r w:rsidRPr="006D1D5A">
        <w:rPr>
          <w:lang w:val="en-US"/>
        </w:rPr>
        <w:t xml:space="preserve"> the relevant </w:t>
      </w:r>
      <w:r w:rsidRPr="00793939">
        <w:rPr>
          <w:lang w:val="en-US"/>
        </w:rPr>
        <w:t>data collection configuration/associated IDs (</w:t>
      </w:r>
      <w:r>
        <w:rPr>
          <w:lang w:val="en-US"/>
        </w:rPr>
        <w:t>if needed</w:t>
      </w:r>
      <w:r w:rsidRPr="00793939">
        <w:rPr>
          <w:lang w:val="en-US"/>
        </w:rPr>
        <w:t>)</w:t>
      </w:r>
      <w:r w:rsidRPr="006D1D5A">
        <w:rPr>
          <w:lang w:val="en-US"/>
        </w:rPr>
        <w:t xml:space="preserve"> in the </w:t>
      </w:r>
      <w:r w:rsidR="004225B1">
        <w:rPr>
          <w:lang w:val="en-US"/>
        </w:rPr>
        <w:t>d</w:t>
      </w:r>
      <w:r w:rsidRPr="006D1D5A">
        <w:rPr>
          <w:lang w:val="en-US"/>
        </w:rPr>
        <w:t>ata collection configuration</w:t>
      </w:r>
      <w:r>
        <w:rPr>
          <w:lang w:val="en-US"/>
        </w:rPr>
        <w:t xml:space="preserve"> (case a shown in figure 1).</w:t>
      </w:r>
      <w:r w:rsidR="00E45194">
        <w:rPr>
          <w:lang w:val="en-US"/>
        </w:rPr>
        <w:t xml:space="preserve"> </w:t>
      </w:r>
      <w:r>
        <w:rPr>
          <w:lang w:val="en-US"/>
        </w:rPr>
        <w:t xml:space="preserve">Furthermore, to </w:t>
      </w:r>
      <w:r w:rsidRPr="006D1D5A">
        <w:rPr>
          <w:lang w:val="en-US"/>
        </w:rPr>
        <w:t xml:space="preserve">guarantee that </w:t>
      </w:r>
      <w:r>
        <w:rPr>
          <w:lang w:val="en-US"/>
        </w:rPr>
        <w:t xml:space="preserve">the suggested data collection configuration/associated IDs from the UE can be supported by </w:t>
      </w:r>
      <w:r w:rsidRPr="006D1D5A">
        <w:rPr>
          <w:lang w:val="en-US"/>
        </w:rPr>
        <w:t>the NW, one option is for the NW to send</w:t>
      </w:r>
      <w:r>
        <w:rPr>
          <w:lang w:val="en-US"/>
        </w:rPr>
        <w:t xml:space="preserve"> supported</w:t>
      </w:r>
      <w:r w:rsidRPr="006D1D5A">
        <w:rPr>
          <w:lang w:val="en-US"/>
        </w:rPr>
        <w:t xml:space="preserve"> data collection </w:t>
      </w:r>
      <w:r>
        <w:rPr>
          <w:lang w:val="en-US"/>
        </w:rPr>
        <w:t>configuration</w:t>
      </w:r>
      <w:r w:rsidRPr="006D1D5A">
        <w:rPr>
          <w:lang w:val="en-US"/>
        </w:rPr>
        <w:t xml:space="preserve"> information to the UE. This information specifies which data collection types</w:t>
      </w:r>
      <w:r>
        <w:rPr>
          <w:lang w:val="en-US"/>
        </w:rPr>
        <w:t>/data collection configuration/associated IDs</w:t>
      </w:r>
      <w:r w:rsidRPr="006D1D5A">
        <w:rPr>
          <w:lang w:val="en-US"/>
        </w:rPr>
        <w:t xml:space="preserve"> </w:t>
      </w:r>
      <w:r>
        <w:rPr>
          <w:lang w:val="en-US"/>
        </w:rPr>
        <w:t>can be</w:t>
      </w:r>
      <w:r w:rsidRPr="006D1D5A">
        <w:rPr>
          <w:lang w:val="en-US"/>
        </w:rPr>
        <w:t xml:space="preserve"> </w:t>
      </w:r>
      <w:r>
        <w:rPr>
          <w:lang w:val="en-US"/>
        </w:rPr>
        <w:t>supported in the current NW</w:t>
      </w:r>
      <w:r w:rsidRPr="006D1D5A">
        <w:rPr>
          <w:lang w:val="en-US"/>
        </w:rPr>
        <w:t>. When initiating a data collection request, the UE must consider this</w:t>
      </w:r>
      <w:r>
        <w:rPr>
          <w:lang w:val="en-US"/>
        </w:rPr>
        <w:t xml:space="preserve"> supported </w:t>
      </w:r>
      <w:r w:rsidRPr="007B7F7C">
        <w:rPr>
          <w:lang w:val="en-US"/>
        </w:rPr>
        <w:t xml:space="preserve">data collection </w:t>
      </w:r>
      <w:r>
        <w:rPr>
          <w:lang w:val="en-US"/>
        </w:rPr>
        <w:t>configuration information</w:t>
      </w:r>
      <w:r w:rsidRPr="006D1D5A">
        <w:rPr>
          <w:lang w:val="en-US"/>
        </w:rPr>
        <w:t>.</w:t>
      </w:r>
      <w:r>
        <w:rPr>
          <w:lang w:val="en-US"/>
        </w:rPr>
        <w:t xml:space="preserve"> </w:t>
      </w:r>
      <w:r w:rsidRPr="002A7BD4">
        <w:rPr>
          <w:lang w:val="en-US"/>
        </w:rPr>
        <w:t xml:space="preserve">This also helps to </w:t>
      </w:r>
      <w:r>
        <w:rPr>
          <w:lang w:val="en-US"/>
        </w:rPr>
        <w:t>a</w:t>
      </w:r>
      <w:r w:rsidRPr="002A7BD4">
        <w:rPr>
          <w:lang w:val="en-US"/>
        </w:rPr>
        <w:t>void potential inconsistencies between the UE's preferences and the configurations supported by the NW.</w:t>
      </w:r>
    </w:p>
    <w:p w14:paraId="7AC9264B" w14:textId="6F1C362C" w:rsidR="003E58BB" w:rsidRPr="00EE74A9" w:rsidRDefault="003E58BB" w:rsidP="008801E4">
      <w:pPr>
        <w:spacing w:after="240"/>
        <w:rPr>
          <w:b/>
          <w:lang w:val="en-US"/>
        </w:rPr>
      </w:pPr>
      <w:r w:rsidRPr="00EE74A9">
        <w:rPr>
          <w:b/>
          <w:lang w:val="en-US"/>
        </w:rPr>
        <w:t>Proposal</w:t>
      </w:r>
      <w:r>
        <w:rPr>
          <w:b/>
          <w:lang w:val="en-US"/>
        </w:rPr>
        <w:t xml:space="preserve"> </w:t>
      </w:r>
      <w:r w:rsidR="00E630C3">
        <w:rPr>
          <w:b/>
          <w:lang w:val="en-US"/>
        </w:rPr>
        <w:t>8</w:t>
      </w:r>
      <w:r w:rsidRPr="008D6561">
        <w:rPr>
          <w:b/>
          <w:lang w:val="en-US"/>
        </w:rPr>
        <w:t xml:space="preserve">: </w:t>
      </w:r>
      <w:r w:rsidR="008D6561" w:rsidRPr="008D6561">
        <w:rPr>
          <w:b/>
          <w:lang w:val="en-US"/>
        </w:rPr>
        <w:t>For data collection configuration with UE request, the</w:t>
      </w:r>
      <w:r w:rsidR="008D6561" w:rsidRPr="00EE74A9">
        <w:rPr>
          <w:b/>
          <w:lang w:val="en-US"/>
        </w:rPr>
        <w:t xml:space="preserve"> </w:t>
      </w:r>
      <w:r w:rsidRPr="00EE74A9">
        <w:rPr>
          <w:b/>
          <w:lang w:val="en-US"/>
        </w:rPr>
        <w:t xml:space="preserve">NW configures </w:t>
      </w:r>
      <w:r>
        <w:rPr>
          <w:b/>
          <w:lang w:val="en-US"/>
        </w:rPr>
        <w:t xml:space="preserve">supported </w:t>
      </w:r>
      <w:r w:rsidRPr="006D1D5A">
        <w:rPr>
          <w:b/>
          <w:lang w:val="en-US"/>
        </w:rPr>
        <w:t xml:space="preserve">data collection </w:t>
      </w:r>
      <w:r>
        <w:rPr>
          <w:b/>
          <w:lang w:val="en-US"/>
        </w:rPr>
        <w:t>configuration</w:t>
      </w:r>
      <w:r w:rsidRPr="006D1D5A">
        <w:rPr>
          <w:b/>
          <w:lang w:val="en-US"/>
        </w:rPr>
        <w:t xml:space="preserve"> </w:t>
      </w:r>
      <w:r w:rsidRPr="00EE74A9">
        <w:rPr>
          <w:b/>
          <w:lang w:val="en-US"/>
        </w:rPr>
        <w:t xml:space="preserve">information </w:t>
      </w:r>
      <w:r>
        <w:rPr>
          <w:b/>
          <w:lang w:val="en-US"/>
        </w:rPr>
        <w:t>to indicate the supported data collection configuration/associated IDs</w:t>
      </w:r>
      <w:r w:rsidRPr="00EE74A9">
        <w:rPr>
          <w:b/>
          <w:lang w:val="en-US"/>
        </w:rPr>
        <w:t>.</w:t>
      </w:r>
    </w:p>
    <w:p w14:paraId="11CF023C" w14:textId="43539DD4" w:rsidR="003E58BB" w:rsidRDefault="003E58BB" w:rsidP="008801E4">
      <w:pPr>
        <w:spacing w:after="240"/>
        <w:rPr>
          <w:lang w:val="en-US"/>
        </w:rPr>
      </w:pPr>
      <w:r>
        <w:rPr>
          <w:lang w:val="en-US"/>
        </w:rPr>
        <w:t xml:space="preserve">In </w:t>
      </w:r>
      <w:r w:rsidR="00F41C8C">
        <w:rPr>
          <w:lang w:val="en-US"/>
        </w:rPr>
        <w:t>another case b</w:t>
      </w:r>
      <w:r>
        <w:rPr>
          <w:lang w:val="en-US"/>
        </w:rPr>
        <w:t xml:space="preserve"> (</w:t>
      </w:r>
      <w:r w:rsidR="00F41C8C">
        <w:rPr>
          <w:lang w:val="en-US"/>
        </w:rPr>
        <w:t>as</w:t>
      </w:r>
      <w:r>
        <w:rPr>
          <w:lang w:val="en-US"/>
        </w:rPr>
        <w:t xml:space="preserve"> shown in figure 1), when receiving the data collection request, the NW may decide not to send related training data collection configuration to the UE. To avoid frequent data collection request from the UE, the prohibit timer similar as </w:t>
      </w:r>
      <w:r w:rsidRPr="007316FD">
        <w:rPr>
          <w:i/>
          <w:lang w:val="en-US"/>
        </w:rPr>
        <w:t>onDemandSIB-RequestProhibitTimer</w:t>
      </w:r>
      <w:r>
        <w:rPr>
          <w:lang w:val="en-US"/>
        </w:rPr>
        <w:t xml:space="preserve"> should be considered. The prohibit timer can be provided to the UE in system information or </w:t>
      </w:r>
      <w:r w:rsidR="00861047">
        <w:rPr>
          <w:lang w:val="en-US"/>
        </w:rPr>
        <w:t xml:space="preserve">a </w:t>
      </w:r>
      <w:r>
        <w:rPr>
          <w:lang w:val="en-US"/>
        </w:rPr>
        <w:t>dedicated RRC message.</w:t>
      </w:r>
    </w:p>
    <w:p w14:paraId="4D957C5B" w14:textId="28571D50" w:rsidR="003E58BB" w:rsidRDefault="003E58BB" w:rsidP="008801E4">
      <w:pPr>
        <w:spacing w:after="240"/>
        <w:rPr>
          <w:b/>
          <w:lang w:val="en-US"/>
        </w:rPr>
      </w:pPr>
      <w:r w:rsidRPr="007E1950">
        <w:rPr>
          <w:b/>
          <w:lang w:val="en-US"/>
        </w:rPr>
        <w:t xml:space="preserve">Proposal </w:t>
      </w:r>
      <w:r w:rsidR="00E630C3">
        <w:rPr>
          <w:b/>
          <w:lang w:val="en-US"/>
        </w:rPr>
        <w:t>9</w:t>
      </w:r>
      <w:r w:rsidRPr="007E1950">
        <w:rPr>
          <w:b/>
          <w:lang w:val="en-US"/>
        </w:rPr>
        <w:t xml:space="preserve">: </w:t>
      </w:r>
      <w:r w:rsidR="008D6561" w:rsidRPr="008D6561">
        <w:rPr>
          <w:b/>
          <w:lang w:val="en-US"/>
        </w:rPr>
        <w:t xml:space="preserve">For data collection configuration with UE request, </w:t>
      </w:r>
      <w:r w:rsidR="008D6561">
        <w:rPr>
          <w:b/>
          <w:lang w:val="en-US"/>
        </w:rPr>
        <w:t>a</w:t>
      </w:r>
      <w:r w:rsidRPr="007E1950">
        <w:rPr>
          <w:b/>
          <w:lang w:val="en-US"/>
        </w:rPr>
        <w:t xml:space="preserve"> prohibit timer is introduced to prevent the UE from immediately re-initiating a data collection request.</w:t>
      </w:r>
      <w:r w:rsidRPr="00D6776F">
        <w:rPr>
          <w:b/>
          <w:lang w:val="en-US"/>
        </w:rPr>
        <w:t xml:space="preserve"> </w:t>
      </w:r>
    </w:p>
    <w:p w14:paraId="7AD0909D" w14:textId="6E1B08D1" w:rsidR="003E58BB" w:rsidRPr="00954452" w:rsidRDefault="003E58BB" w:rsidP="008801E4">
      <w:pPr>
        <w:spacing w:after="240"/>
        <w:rPr>
          <w:lang w:val="en-US"/>
        </w:rPr>
      </w:pPr>
      <w:r w:rsidRPr="00954452">
        <w:rPr>
          <w:lang w:val="en-US"/>
        </w:rPr>
        <w:lastRenderedPageBreak/>
        <w:t xml:space="preserve">Based on the above discussion, we summarize a possible illustration for the </w:t>
      </w:r>
      <w:r w:rsidR="00ED6631">
        <w:rPr>
          <w:lang w:val="en-US"/>
        </w:rPr>
        <w:t>above</w:t>
      </w:r>
      <w:r w:rsidRPr="00954452">
        <w:rPr>
          <w:lang w:val="en-US"/>
        </w:rPr>
        <w:t xml:space="preserve"> scheme in </w:t>
      </w:r>
      <w:r w:rsidR="00ED6631">
        <w:rPr>
          <w:lang w:val="en-US"/>
        </w:rPr>
        <w:t xml:space="preserve">the following </w:t>
      </w:r>
      <w:r w:rsidRPr="00954452">
        <w:rPr>
          <w:lang w:val="en-US"/>
        </w:rPr>
        <w:t>figure 1.</w:t>
      </w:r>
      <w:r w:rsidR="005B5577">
        <w:rPr>
          <w:lang w:val="en-US"/>
        </w:rPr>
        <w:t xml:space="preserve"> </w:t>
      </w:r>
    </w:p>
    <w:p w14:paraId="2E48C3E8" w14:textId="162FD717" w:rsidR="003E58BB" w:rsidRDefault="00B81BED" w:rsidP="008801E4">
      <w:pPr>
        <w:spacing w:after="240"/>
        <w:jc w:val="center"/>
      </w:pPr>
      <w:r>
        <w:object w:dxaOrig="10190" w:dyaOrig="7530" w14:anchorId="33529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5pt;height:280.95pt" o:ole="">
            <v:imagedata r:id="rId8" o:title=""/>
          </v:shape>
          <o:OLEObject Type="Embed" ProgID="Visio.Drawing.15" ShapeID="_x0000_i1025" DrawAspect="Content" ObjectID="_1804665002" r:id="rId9"/>
        </w:object>
      </w:r>
    </w:p>
    <w:p w14:paraId="38907246" w14:textId="1416D86D" w:rsidR="003E58BB" w:rsidRPr="00D6776F" w:rsidRDefault="003E58BB" w:rsidP="008801E4">
      <w:pPr>
        <w:spacing w:after="240"/>
        <w:jc w:val="center"/>
        <w:rPr>
          <w:b/>
          <w:lang w:val="en-US"/>
        </w:rPr>
      </w:pPr>
      <w:r>
        <w:t xml:space="preserve">Figure 1 Data collection configuration </w:t>
      </w:r>
      <w:r w:rsidR="002030B4">
        <w:t>with</w:t>
      </w:r>
      <w:r>
        <w:t xml:space="preserve"> UE request</w:t>
      </w:r>
    </w:p>
    <w:p w14:paraId="410B7320" w14:textId="3353972F" w:rsidR="008B6E23" w:rsidRPr="008B6E23" w:rsidRDefault="008B6E23" w:rsidP="008B6E23">
      <w:pPr>
        <w:rPr>
          <w:b/>
          <w:i/>
          <w:u w:val="single"/>
        </w:rPr>
      </w:pPr>
      <w:r>
        <w:rPr>
          <w:b/>
          <w:i/>
          <w:u w:val="single"/>
        </w:rPr>
        <w:t>D</w:t>
      </w:r>
      <w:r w:rsidRPr="008B6E23">
        <w:rPr>
          <w:b/>
          <w:i/>
          <w:u w:val="single"/>
        </w:rPr>
        <w:t>ata Collection Configuration with</w:t>
      </w:r>
      <w:r>
        <w:rPr>
          <w:b/>
          <w:i/>
          <w:u w:val="single"/>
        </w:rPr>
        <w:t>out</w:t>
      </w:r>
      <w:r w:rsidRPr="008B6E23">
        <w:rPr>
          <w:b/>
          <w:i/>
          <w:u w:val="single"/>
        </w:rPr>
        <w:t xml:space="preserve"> UE Request</w:t>
      </w:r>
    </w:p>
    <w:p w14:paraId="0465AD5F" w14:textId="28DBB101" w:rsidR="003E58BB" w:rsidRDefault="008B6E23" w:rsidP="003E58BB">
      <w:pPr>
        <w:rPr>
          <w:lang w:val="en-US"/>
        </w:rPr>
      </w:pPr>
      <w:r>
        <w:rPr>
          <w:lang w:val="en-US"/>
        </w:rPr>
        <w:t>I</w:t>
      </w:r>
      <w:r w:rsidR="003E58BB">
        <w:rPr>
          <w:lang w:val="en-US"/>
        </w:rPr>
        <w:t>n the scheme, the UE will not initiate a request for data collection or provide suggested data collection configurations/associated ID. To ensure the NW configures the data collection configurations supported by the UE, it is an intuitive method for the UE to report its data collection associated capabilities to the NW.  If the NW supports elated data collection configurations based on these capabilities and has sufficient resources, it can proactively provide the related data collection configuration to the UE.</w:t>
      </w:r>
      <w:r w:rsidR="003E58BB" w:rsidRPr="00456AE5">
        <w:rPr>
          <w:lang w:val="en-US"/>
        </w:rPr>
        <w:t xml:space="preserve"> This improves configuration efficiency and avoids potential UE malfunction.</w:t>
      </w:r>
    </w:p>
    <w:p w14:paraId="4BB8D580" w14:textId="250DF7CD" w:rsidR="003E58BB" w:rsidRDefault="003E58BB" w:rsidP="003E58BB">
      <w:pPr>
        <w:rPr>
          <w:b/>
          <w:lang w:val="en-US"/>
        </w:rPr>
      </w:pPr>
      <w:r w:rsidRPr="00DF4C48">
        <w:rPr>
          <w:b/>
          <w:lang w:val="en-US"/>
        </w:rPr>
        <w:t xml:space="preserve">Proposal </w:t>
      </w:r>
      <w:r w:rsidR="00E630C3">
        <w:rPr>
          <w:b/>
          <w:lang w:val="en-US"/>
        </w:rPr>
        <w:t>10</w:t>
      </w:r>
      <w:r w:rsidRPr="00DF4C48">
        <w:rPr>
          <w:b/>
          <w:lang w:val="en-US"/>
        </w:rPr>
        <w:t xml:space="preserve">: </w:t>
      </w:r>
      <w:r w:rsidR="008D6561">
        <w:rPr>
          <w:b/>
          <w:lang w:val="en-US"/>
        </w:rPr>
        <w:t>For</w:t>
      </w:r>
      <w:r w:rsidR="008D6561" w:rsidRPr="00830A59">
        <w:rPr>
          <w:b/>
          <w:lang w:val="en-US"/>
        </w:rPr>
        <w:t xml:space="preserve"> data collection configuration without UE request</w:t>
      </w:r>
      <w:r w:rsidR="008D6561">
        <w:rPr>
          <w:b/>
          <w:lang w:val="en-US"/>
        </w:rPr>
        <w:t>, t</w:t>
      </w:r>
      <w:r w:rsidRPr="00830A59">
        <w:rPr>
          <w:b/>
          <w:lang w:val="en-US"/>
        </w:rPr>
        <w:t xml:space="preserve">he </w:t>
      </w:r>
      <w:r>
        <w:rPr>
          <w:b/>
          <w:lang w:val="en-US"/>
        </w:rPr>
        <w:t xml:space="preserve">UE provides </w:t>
      </w:r>
      <w:r w:rsidRPr="00C349F6">
        <w:rPr>
          <w:b/>
          <w:lang w:val="en-US"/>
        </w:rPr>
        <w:t>data collection related capability to the NW</w:t>
      </w:r>
      <w:r w:rsidR="008D6561">
        <w:rPr>
          <w:b/>
          <w:lang w:val="en-US"/>
        </w:rPr>
        <w:t>.</w:t>
      </w:r>
      <w:r w:rsidRPr="00830A59">
        <w:rPr>
          <w:b/>
          <w:lang w:val="en-US"/>
        </w:rPr>
        <w:t xml:space="preserve"> </w:t>
      </w:r>
      <w:r w:rsidRPr="00DF4C48">
        <w:rPr>
          <w:b/>
          <w:lang w:val="en-US"/>
        </w:rPr>
        <w:t xml:space="preserve"> </w:t>
      </w:r>
    </w:p>
    <w:p w14:paraId="5B8DC847" w14:textId="6C4FA395" w:rsidR="00933863" w:rsidRDefault="003026D9" w:rsidP="00933863">
      <w:pPr>
        <w:spacing w:after="240"/>
        <w:jc w:val="center"/>
      </w:pPr>
      <w:r>
        <w:object w:dxaOrig="8780" w:dyaOrig="4770" w14:anchorId="2CA5467C">
          <v:shape id="_x0000_i1026" type="#_x0000_t75" style="width:327.85pt;height:177.85pt" o:ole="">
            <v:imagedata r:id="rId10" o:title=""/>
          </v:shape>
          <o:OLEObject Type="Embed" ProgID="Visio.Drawing.15" ShapeID="_x0000_i1026" DrawAspect="Content" ObjectID="_1804665003" r:id="rId11"/>
        </w:object>
      </w:r>
    </w:p>
    <w:p w14:paraId="694945B3" w14:textId="1600E1C3" w:rsidR="00933863" w:rsidRPr="00D6776F" w:rsidRDefault="00933863" w:rsidP="00933863">
      <w:pPr>
        <w:spacing w:after="240"/>
        <w:jc w:val="center"/>
        <w:rPr>
          <w:b/>
          <w:lang w:val="en-US"/>
        </w:rPr>
      </w:pPr>
      <w:r>
        <w:t xml:space="preserve">Figure </w:t>
      </w:r>
      <w:r w:rsidR="002030B4">
        <w:t>2</w:t>
      </w:r>
      <w:r>
        <w:t xml:space="preserve"> Data collection configuration </w:t>
      </w:r>
      <w:r w:rsidR="002030B4">
        <w:t>without</w:t>
      </w:r>
      <w:r>
        <w:t xml:space="preserve"> UE request</w:t>
      </w:r>
    </w:p>
    <w:p w14:paraId="0CE36DFD" w14:textId="172C5B95" w:rsidR="003E58BB" w:rsidRPr="004B18C4" w:rsidRDefault="003E58BB" w:rsidP="00BA656B">
      <w:pPr>
        <w:pStyle w:val="Heading3"/>
        <w:numPr>
          <w:ilvl w:val="2"/>
          <w:numId w:val="28"/>
        </w:numPr>
        <w:ind w:hanging="1224"/>
      </w:pPr>
      <w:r>
        <w:t xml:space="preserve">Failure </w:t>
      </w:r>
      <w:r w:rsidR="00094250">
        <w:t>Case for UE-side Data Collection</w:t>
      </w:r>
    </w:p>
    <w:p w14:paraId="0BFF3843" w14:textId="2B53516E" w:rsidR="003E58BB" w:rsidRDefault="003E58BB" w:rsidP="008B6FF0">
      <w:pPr>
        <w:rPr>
          <w:lang w:val="en-US"/>
        </w:rPr>
      </w:pPr>
      <w:r>
        <w:rPr>
          <w:lang w:val="en-US"/>
        </w:rPr>
        <w:t>In RAN2#128 meeting, there was an FFS whether to indicate the NW if the UE cannot perform data collection.</w:t>
      </w:r>
    </w:p>
    <w:p w14:paraId="591E2267" w14:textId="6904624D" w:rsidR="003E58BB" w:rsidRPr="00CE363F" w:rsidRDefault="003E58BB" w:rsidP="00F60436">
      <w:pPr>
        <w:pStyle w:val="Agreement"/>
        <w:tabs>
          <w:tab w:val="clear" w:pos="1619"/>
          <w:tab w:val="num" w:pos="1350"/>
        </w:tabs>
        <w:spacing w:before="0" w:after="240"/>
        <w:ind w:left="360"/>
        <w:rPr>
          <w:i/>
          <w:lang w:val="en-US"/>
        </w:rPr>
      </w:pPr>
      <w:r w:rsidRPr="00CE363F">
        <w:rPr>
          <w:i/>
          <w:lang w:val="en-US"/>
        </w:rPr>
        <w:lastRenderedPageBreak/>
        <w:t>FFS whether an indication from UE to network is needed when UE can’t perform data collection based on received configuration</w:t>
      </w:r>
    </w:p>
    <w:p w14:paraId="741AAEDE" w14:textId="73FB5AFD" w:rsidR="003E58BB" w:rsidRDefault="003E58BB" w:rsidP="008B6FF0">
      <w:pPr>
        <w:rPr>
          <w:lang w:val="en-US"/>
        </w:rPr>
      </w:pPr>
      <w:r>
        <w:rPr>
          <w:lang w:val="en-US"/>
        </w:rPr>
        <w:t xml:space="preserve">Based on the previous solutions, it is noticed that when the UE receives the data collection configuration from NW for UE-side data collection, the NW concurrently provides the </w:t>
      </w:r>
      <w:r w:rsidR="00EA424A">
        <w:rPr>
          <w:lang w:val="en-US"/>
        </w:rPr>
        <w:t xml:space="preserve">CSI </w:t>
      </w:r>
      <w:r>
        <w:rPr>
          <w:lang w:val="en-US"/>
        </w:rPr>
        <w:t xml:space="preserve">measurement resources. When the UE is unable to perform data collection based on received configuration, it is essential for the UE to notify the NW. The notification allows the NW to stop providing </w:t>
      </w:r>
      <w:r w:rsidR="00065862">
        <w:rPr>
          <w:lang w:val="en-US"/>
        </w:rPr>
        <w:t xml:space="preserve">CSI </w:t>
      </w:r>
      <w:r w:rsidR="00E34EF8">
        <w:rPr>
          <w:lang w:val="en-US"/>
        </w:rPr>
        <w:t>m</w:t>
      </w:r>
      <w:r>
        <w:rPr>
          <w:lang w:val="en-US"/>
        </w:rPr>
        <w:t>easurement resources</w:t>
      </w:r>
      <w:r w:rsidR="000B2818">
        <w:rPr>
          <w:lang w:val="en-US"/>
        </w:rPr>
        <w:t xml:space="preserve"> and ultimately </w:t>
      </w:r>
      <w:r>
        <w:rPr>
          <w:lang w:val="en-US"/>
        </w:rPr>
        <w:t>conserve</w:t>
      </w:r>
      <w:r w:rsidR="000B2818">
        <w:rPr>
          <w:lang w:val="en-US"/>
        </w:rPr>
        <w:t>s</w:t>
      </w:r>
      <w:r>
        <w:rPr>
          <w:lang w:val="en-US"/>
        </w:rPr>
        <w:t xml:space="preserve"> network resources.</w:t>
      </w:r>
    </w:p>
    <w:p w14:paraId="3EB3789A" w14:textId="22B20250" w:rsidR="003E58BB" w:rsidRDefault="003E58BB" w:rsidP="008B6FF0">
      <w:pPr>
        <w:pStyle w:val="NormalWeb"/>
        <w:spacing w:before="0" w:beforeAutospacing="0" w:after="180" w:afterAutospacing="0"/>
        <w:rPr>
          <w:rFonts w:eastAsia="SimSun"/>
          <w:b/>
          <w:sz w:val="20"/>
          <w:szCs w:val="20"/>
          <w:lang w:eastAsia="en-GB"/>
        </w:rPr>
      </w:pPr>
      <w:r w:rsidRPr="005B7C1B">
        <w:rPr>
          <w:rFonts w:eastAsia="SimSun"/>
          <w:b/>
          <w:bCs/>
          <w:sz w:val="20"/>
          <w:szCs w:val="20"/>
          <w:lang w:eastAsia="en-GB"/>
        </w:rPr>
        <w:t xml:space="preserve">Proposal </w:t>
      </w:r>
      <w:r w:rsidR="00E630C3">
        <w:rPr>
          <w:rFonts w:eastAsia="SimSun"/>
          <w:b/>
          <w:bCs/>
          <w:sz w:val="20"/>
          <w:szCs w:val="20"/>
          <w:lang w:eastAsia="en-GB"/>
        </w:rPr>
        <w:t>11</w:t>
      </w:r>
      <w:r w:rsidRPr="005B7C1B">
        <w:rPr>
          <w:rFonts w:eastAsia="SimSun"/>
          <w:b/>
          <w:bCs/>
          <w:sz w:val="20"/>
          <w:szCs w:val="20"/>
          <w:lang w:eastAsia="en-GB"/>
        </w:rPr>
        <w:t>:</w:t>
      </w:r>
      <w:r w:rsidRPr="005B7C1B">
        <w:rPr>
          <w:rFonts w:eastAsia="SimSun"/>
          <w:b/>
          <w:sz w:val="20"/>
          <w:szCs w:val="20"/>
          <w:lang w:eastAsia="en-GB"/>
        </w:rPr>
        <w:t xml:space="preserve"> The UE sends an indication to the NW</w:t>
      </w:r>
      <w:r>
        <w:rPr>
          <w:rFonts w:eastAsia="SimSun"/>
          <w:b/>
          <w:sz w:val="20"/>
          <w:szCs w:val="20"/>
          <w:lang w:eastAsia="en-GB"/>
        </w:rPr>
        <w:t xml:space="preserve"> if unable to perform the configured data collection.</w:t>
      </w:r>
    </w:p>
    <w:p w14:paraId="062692D3" w14:textId="6DC34BFA" w:rsidR="003E58BB" w:rsidRDefault="003E58BB" w:rsidP="008B6FF0">
      <w:pPr>
        <w:rPr>
          <w:lang w:val="en-US"/>
        </w:rPr>
      </w:pPr>
      <w:r>
        <w:rPr>
          <w:lang w:val="en-US"/>
        </w:rPr>
        <w:t>Moreover, the UE can provide additional information, e.g., specifying the reason for its inability to perform data collection. The potential reasons can include abnormal UE states (e.g., low power, low memory</w:t>
      </w:r>
      <w:r w:rsidR="00960315">
        <w:rPr>
          <w:lang w:val="en-US"/>
        </w:rPr>
        <w:t>,</w:t>
      </w:r>
      <w:r>
        <w:rPr>
          <w:lang w:val="en-US"/>
        </w:rPr>
        <w:t xml:space="preserve"> overheating, </w:t>
      </w:r>
      <w:r w:rsidR="00960315">
        <w:rPr>
          <w:lang w:val="en-US"/>
        </w:rPr>
        <w:t xml:space="preserve">or </w:t>
      </w:r>
      <w:r>
        <w:rPr>
          <w:lang w:val="en-US"/>
        </w:rPr>
        <w:t xml:space="preserve">inconsistency of UE/NW-side associated ID). </w:t>
      </w:r>
    </w:p>
    <w:p w14:paraId="65053BE2" w14:textId="5BC32D21" w:rsidR="00690270" w:rsidRPr="003E58BB" w:rsidRDefault="003E58BB" w:rsidP="008B6FF0">
      <w:pPr>
        <w:pStyle w:val="NormalWeb"/>
        <w:spacing w:before="0" w:beforeAutospacing="0" w:after="180" w:afterAutospacing="0"/>
        <w:rPr>
          <w:b/>
        </w:rPr>
      </w:pPr>
      <w:r>
        <w:rPr>
          <w:rFonts w:eastAsia="SimSun"/>
          <w:b/>
          <w:sz w:val="20"/>
          <w:szCs w:val="20"/>
          <w:lang w:eastAsia="en-GB"/>
        </w:rPr>
        <w:t xml:space="preserve">Proposal </w:t>
      </w:r>
      <w:r w:rsidR="00E630C3">
        <w:rPr>
          <w:rFonts w:eastAsia="SimSun"/>
          <w:b/>
          <w:sz w:val="20"/>
          <w:szCs w:val="20"/>
          <w:lang w:eastAsia="en-GB"/>
        </w:rPr>
        <w:t>12</w:t>
      </w:r>
      <w:r>
        <w:rPr>
          <w:rFonts w:eastAsia="SimSun"/>
          <w:b/>
          <w:sz w:val="20"/>
          <w:szCs w:val="20"/>
          <w:lang w:eastAsia="en-GB"/>
        </w:rPr>
        <w:t xml:space="preserve">: The UE sends a failure cause to the NW (e.g., </w:t>
      </w:r>
      <w:r w:rsidRPr="00E32252">
        <w:rPr>
          <w:rFonts w:eastAsia="SimSun"/>
          <w:b/>
          <w:sz w:val="20"/>
          <w:szCs w:val="20"/>
          <w:lang w:eastAsia="en-GB"/>
        </w:rPr>
        <w:t>low power, low memory</w:t>
      </w:r>
      <w:r w:rsidR="00960315">
        <w:rPr>
          <w:rFonts w:eastAsia="SimSun"/>
          <w:b/>
          <w:sz w:val="20"/>
          <w:szCs w:val="20"/>
          <w:lang w:eastAsia="en-GB"/>
        </w:rPr>
        <w:t>,</w:t>
      </w:r>
      <w:r w:rsidRPr="00E32252">
        <w:rPr>
          <w:rFonts w:eastAsia="SimSun"/>
          <w:b/>
          <w:sz w:val="20"/>
          <w:szCs w:val="20"/>
          <w:lang w:eastAsia="en-GB"/>
        </w:rPr>
        <w:t xml:space="preserve"> overheating</w:t>
      </w:r>
      <w:r>
        <w:rPr>
          <w:rFonts w:eastAsia="SimSun"/>
          <w:b/>
          <w:sz w:val="20"/>
          <w:szCs w:val="20"/>
          <w:lang w:eastAsia="en-GB"/>
        </w:rPr>
        <w:t>,</w:t>
      </w:r>
      <w:r w:rsidR="00960315">
        <w:rPr>
          <w:rFonts w:eastAsia="SimSun"/>
          <w:b/>
          <w:sz w:val="20"/>
          <w:szCs w:val="20"/>
          <w:lang w:eastAsia="en-GB"/>
        </w:rPr>
        <w:t xml:space="preserve"> or</w:t>
      </w:r>
      <w:r w:rsidRPr="00E32252">
        <w:rPr>
          <w:rFonts w:eastAsia="SimSun"/>
          <w:b/>
          <w:sz w:val="20"/>
          <w:szCs w:val="20"/>
          <w:lang w:eastAsia="en-GB"/>
        </w:rPr>
        <w:t xml:space="preserve"> inconsistency of </w:t>
      </w:r>
      <w:r w:rsidR="008B6FF0">
        <w:rPr>
          <w:rFonts w:eastAsia="SimSun"/>
          <w:b/>
          <w:sz w:val="20"/>
          <w:szCs w:val="20"/>
          <w:lang w:eastAsia="en-GB"/>
        </w:rPr>
        <w:t>U</w:t>
      </w:r>
      <w:r w:rsidRPr="00E32252">
        <w:rPr>
          <w:rFonts w:eastAsia="SimSun"/>
          <w:b/>
          <w:sz w:val="20"/>
          <w:szCs w:val="20"/>
          <w:lang w:eastAsia="en-GB"/>
        </w:rPr>
        <w:t>E/NW-side associated ID).</w:t>
      </w:r>
    </w:p>
    <w:p w14:paraId="6A716080" w14:textId="592137A2" w:rsidR="00B97703" w:rsidRDefault="00B97703" w:rsidP="005D5294">
      <w:pPr>
        <w:pStyle w:val="Heading1"/>
      </w:pPr>
      <w:r w:rsidRPr="000F6242">
        <w:t>3</w:t>
      </w:r>
      <w:r w:rsidR="001C7083">
        <w:t xml:space="preserve"> Conclusion</w:t>
      </w:r>
    </w:p>
    <w:p w14:paraId="1A900AA9" w14:textId="01640A9D" w:rsidR="00FF6C41" w:rsidRDefault="00EA07B3" w:rsidP="00FF6C41">
      <w:pPr>
        <w:rPr>
          <w:bCs/>
        </w:rPr>
      </w:pPr>
      <w:r>
        <w:rPr>
          <w:bCs/>
        </w:rPr>
        <w:t xml:space="preserve">In this contribution, we discussed the potential solutions on the remaining FFSs and gave more considerations on the </w:t>
      </w:r>
      <w:r w:rsidR="00AE614F">
        <w:rPr>
          <w:bCs/>
        </w:rPr>
        <w:t>LCM for UE-side</w:t>
      </w:r>
      <w:r w:rsidR="008A267B">
        <w:rPr>
          <w:bCs/>
        </w:rPr>
        <w:t>d</w:t>
      </w:r>
      <w:r w:rsidR="00AE614F">
        <w:rPr>
          <w:bCs/>
        </w:rPr>
        <w:t xml:space="preserve"> model for BM</w:t>
      </w:r>
      <w:r>
        <w:rPr>
          <w:bCs/>
        </w:rPr>
        <w:t>. The related proposals are summarized below:</w:t>
      </w:r>
    </w:p>
    <w:p w14:paraId="353544C0" w14:textId="0BDDF457" w:rsidR="006B653C" w:rsidRPr="004219EF" w:rsidRDefault="006B653C" w:rsidP="006B653C">
      <w:pPr>
        <w:rPr>
          <w:b/>
          <w:i/>
        </w:rPr>
      </w:pPr>
      <w:r w:rsidRPr="006B653C">
        <w:rPr>
          <w:i/>
          <w:u w:val="single"/>
        </w:rPr>
        <w:t>Applicability Reporting</w:t>
      </w:r>
    </w:p>
    <w:p w14:paraId="2E2ECA24" w14:textId="314E1569" w:rsidR="008801E4" w:rsidRDefault="008801E4" w:rsidP="008801E4">
      <w:pPr>
        <w:spacing w:after="240"/>
        <w:rPr>
          <w:b/>
          <w:lang w:eastAsia="zh-CN"/>
        </w:rPr>
      </w:pPr>
      <w:r>
        <w:rPr>
          <w:b/>
          <w:lang w:eastAsia="zh-CN"/>
        </w:rPr>
        <w:t>P</w:t>
      </w:r>
      <w:r w:rsidRPr="008A4523">
        <w:rPr>
          <w:b/>
          <w:lang w:eastAsia="zh-CN"/>
        </w:rPr>
        <w:t>roposal 1: RAN2 should study</w:t>
      </w:r>
      <w:r>
        <w:rPr>
          <w:b/>
          <w:lang w:eastAsia="zh-CN"/>
        </w:rPr>
        <w:t xml:space="preserve"> what</w:t>
      </w:r>
      <w:r w:rsidRPr="008A4523">
        <w:rPr>
          <w:b/>
          <w:lang w:eastAsia="zh-CN"/>
        </w:rPr>
        <w:t xml:space="preserve"> UE capabilit</w:t>
      </w:r>
      <w:r w:rsidR="00AC49E2">
        <w:rPr>
          <w:b/>
          <w:lang w:eastAsia="zh-CN"/>
        </w:rPr>
        <w:t>ies</w:t>
      </w:r>
      <w:r>
        <w:rPr>
          <w:b/>
          <w:lang w:eastAsia="zh-CN"/>
        </w:rPr>
        <w:t xml:space="preserve"> (e.g., CSI setting/processing capabilities) </w:t>
      </w:r>
      <w:r w:rsidRPr="008A4523">
        <w:rPr>
          <w:b/>
          <w:lang w:eastAsia="zh-CN"/>
        </w:rPr>
        <w:t xml:space="preserve">the NW </w:t>
      </w:r>
      <w:r>
        <w:rPr>
          <w:b/>
          <w:lang w:eastAsia="zh-CN"/>
        </w:rPr>
        <w:t>needs to consider for ensuring consistent</w:t>
      </w:r>
      <w:r w:rsidRPr="008A4523">
        <w:rPr>
          <w:b/>
          <w:lang w:eastAsia="zh-CN"/>
        </w:rPr>
        <w:t xml:space="preserve"> periodic CSI </w:t>
      </w:r>
      <w:r>
        <w:rPr>
          <w:b/>
          <w:lang w:eastAsia="zh-CN"/>
        </w:rPr>
        <w:t>configuration</w:t>
      </w:r>
      <w:r w:rsidR="00F41C8C">
        <w:rPr>
          <w:b/>
          <w:lang w:eastAsia="zh-CN"/>
        </w:rPr>
        <w:t>s</w:t>
      </w:r>
      <w:r>
        <w:rPr>
          <w:b/>
          <w:lang w:eastAsia="zh-CN"/>
        </w:rPr>
        <w:t>.</w:t>
      </w:r>
    </w:p>
    <w:p w14:paraId="27BB3B67" w14:textId="07A9AF3A" w:rsidR="00D93205" w:rsidRDefault="00D93205" w:rsidP="00D93205">
      <w:pPr>
        <w:rPr>
          <w:bCs/>
        </w:rPr>
      </w:pPr>
      <w:r w:rsidRPr="00007121">
        <w:rPr>
          <w:b/>
          <w:bCs/>
        </w:rPr>
        <w:t>Proposal 2: The UE can send its preference for inference configurations</w:t>
      </w:r>
      <w:r>
        <w:rPr>
          <w:b/>
          <w:bCs/>
        </w:rPr>
        <w:t>/</w:t>
      </w:r>
      <w:r w:rsidRPr="00007121">
        <w:rPr>
          <w:b/>
          <w:bCs/>
        </w:rPr>
        <w:t>parameters.</w:t>
      </w:r>
    </w:p>
    <w:p w14:paraId="62449F67" w14:textId="6916996B" w:rsidR="00D93205" w:rsidRDefault="00D93205" w:rsidP="00D93205">
      <w:pPr>
        <w:rPr>
          <w:b/>
          <w:lang w:eastAsia="zh-CN"/>
        </w:rPr>
      </w:pPr>
      <w:r>
        <w:rPr>
          <w:b/>
          <w:lang w:eastAsia="zh-CN"/>
        </w:rPr>
        <w:t>P</w:t>
      </w:r>
      <w:r w:rsidRPr="008A4523">
        <w:rPr>
          <w:b/>
          <w:lang w:eastAsia="zh-CN"/>
        </w:rPr>
        <w:t xml:space="preserve">roposal </w:t>
      </w:r>
      <w:r>
        <w:rPr>
          <w:b/>
          <w:lang w:eastAsia="zh-CN"/>
        </w:rPr>
        <w:t>3</w:t>
      </w:r>
      <w:r w:rsidRPr="008A4523">
        <w:rPr>
          <w:b/>
          <w:lang w:eastAsia="zh-CN"/>
        </w:rPr>
        <w:t>:</w:t>
      </w:r>
      <w:r>
        <w:rPr>
          <w:b/>
          <w:lang w:eastAsia="zh-CN"/>
        </w:rPr>
        <w:t xml:space="preserve"> </w:t>
      </w:r>
      <w:r w:rsidRPr="00B17182">
        <w:rPr>
          <w:b/>
          <w:lang w:eastAsia="zh-CN"/>
        </w:rPr>
        <w:t>Upon applicability changes from applicable to non-applicable</w:t>
      </w:r>
      <w:r>
        <w:rPr>
          <w:b/>
          <w:lang w:eastAsia="zh-CN"/>
        </w:rPr>
        <w:t>,</w:t>
      </w:r>
      <w:r w:rsidRPr="00B17182">
        <w:t xml:space="preserve"> </w:t>
      </w:r>
      <w:r w:rsidR="00F41C8C">
        <w:rPr>
          <w:b/>
          <w:lang w:eastAsia="zh-CN"/>
        </w:rPr>
        <w:t xml:space="preserve">the UE </w:t>
      </w:r>
      <w:r w:rsidRPr="00B17182">
        <w:rPr>
          <w:b/>
          <w:lang w:eastAsia="zh-CN"/>
        </w:rPr>
        <w:t>send</w:t>
      </w:r>
      <w:r w:rsidR="00F41C8C">
        <w:rPr>
          <w:b/>
          <w:lang w:eastAsia="zh-CN"/>
        </w:rPr>
        <w:t>s</w:t>
      </w:r>
      <w:r w:rsidRPr="00B17182">
        <w:rPr>
          <w:b/>
          <w:lang w:eastAsia="zh-CN"/>
        </w:rPr>
        <w:t xml:space="preserve"> the applicability report via UAI</w:t>
      </w:r>
      <w:r>
        <w:rPr>
          <w:b/>
          <w:lang w:eastAsia="zh-CN"/>
        </w:rPr>
        <w:t>.</w:t>
      </w:r>
    </w:p>
    <w:p w14:paraId="61C8D4FD" w14:textId="77777777" w:rsidR="00BD38B7" w:rsidRDefault="00BD38B7" w:rsidP="00BD38B7">
      <w:pPr>
        <w:rPr>
          <w:b/>
          <w:lang w:eastAsia="zh-CN"/>
        </w:rPr>
      </w:pPr>
      <w:r>
        <w:rPr>
          <w:b/>
          <w:lang w:eastAsia="zh-CN"/>
        </w:rPr>
        <w:t>P</w:t>
      </w:r>
      <w:r w:rsidRPr="008A4523">
        <w:rPr>
          <w:b/>
          <w:lang w:eastAsia="zh-CN"/>
        </w:rPr>
        <w:t xml:space="preserve">roposal </w:t>
      </w:r>
      <w:r>
        <w:rPr>
          <w:b/>
          <w:lang w:eastAsia="zh-CN"/>
        </w:rPr>
        <w:t>4</w:t>
      </w:r>
      <w:r w:rsidRPr="008A4523">
        <w:rPr>
          <w:b/>
          <w:lang w:eastAsia="zh-CN"/>
        </w:rPr>
        <w:t>:</w:t>
      </w:r>
      <w:r>
        <w:rPr>
          <w:b/>
          <w:lang w:eastAsia="zh-CN"/>
        </w:rPr>
        <w:t xml:space="preserve"> When the applicability information changes (applicability to inapplicability, or inapplicability to applicability), no explicit cause is reported.</w:t>
      </w:r>
    </w:p>
    <w:p w14:paraId="57BBC3DE" w14:textId="54CDD282" w:rsidR="00D93205" w:rsidRPr="000278A8" w:rsidRDefault="00D93205" w:rsidP="00422113">
      <w:pPr>
        <w:spacing w:after="0"/>
        <w:rPr>
          <w:b/>
          <w:bCs/>
        </w:rPr>
      </w:pPr>
      <w:r w:rsidRPr="004B0365">
        <w:rPr>
          <w:b/>
          <w:bCs/>
        </w:rPr>
        <w:t xml:space="preserve">Proposal </w:t>
      </w:r>
      <w:r w:rsidR="00BD38B7">
        <w:rPr>
          <w:b/>
          <w:bCs/>
        </w:rPr>
        <w:t>5</w:t>
      </w:r>
      <w:r w:rsidRPr="004B0365">
        <w:rPr>
          <w:b/>
          <w:bCs/>
        </w:rPr>
        <w:t xml:space="preserve">: </w:t>
      </w:r>
      <w:r w:rsidRPr="000278A8">
        <w:rPr>
          <w:b/>
          <w:bCs/>
        </w:rPr>
        <w:t>The NW can send a deactivation indication to the UE prior to receiving a non-applicability report.  The UE's behaviour depends:</w:t>
      </w:r>
    </w:p>
    <w:p w14:paraId="5956036C" w14:textId="77777777" w:rsidR="00D93205" w:rsidRPr="000278A8" w:rsidRDefault="00D93205" w:rsidP="00D93205">
      <w:pPr>
        <w:pStyle w:val="ListParagraph"/>
        <w:numPr>
          <w:ilvl w:val="0"/>
          <w:numId w:val="21"/>
        </w:numPr>
        <w:spacing w:after="0"/>
        <w:rPr>
          <w:b/>
          <w:bCs/>
        </w:rPr>
      </w:pPr>
      <w:r w:rsidRPr="000278A8">
        <w:rPr>
          <w:b/>
          <w:bCs/>
        </w:rPr>
        <w:t>Deactivation Indication Present: The UE deactivates the previously activated functionality when it becomes non-applicable and informs the NW of the deactivation.</w:t>
      </w:r>
    </w:p>
    <w:p w14:paraId="53CE3607" w14:textId="77777777" w:rsidR="00D93205" w:rsidRPr="00C4099E" w:rsidRDefault="00D93205" w:rsidP="00B337C2">
      <w:pPr>
        <w:pStyle w:val="ListParagraph"/>
        <w:numPr>
          <w:ilvl w:val="0"/>
          <w:numId w:val="21"/>
        </w:numPr>
        <w:rPr>
          <w:b/>
          <w:bCs/>
        </w:rPr>
      </w:pPr>
      <w:r w:rsidRPr="000278A8">
        <w:rPr>
          <w:b/>
          <w:bCs/>
        </w:rPr>
        <w:t>Deactivation Indication Absent: The UE sends a non-applicability report and expects the NW to deactivate the functionality in a subsequent response.</w:t>
      </w:r>
    </w:p>
    <w:p w14:paraId="3B78A9B5" w14:textId="39B3DC2A" w:rsidR="0022652A" w:rsidRPr="00071DF2" w:rsidRDefault="00D93205" w:rsidP="00B337C2">
      <w:pPr>
        <w:rPr>
          <w:b/>
        </w:rPr>
      </w:pPr>
      <w:r>
        <w:rPr>
          <w:b/>
          <w:lang w:eastAsia="zh-CN"/>
        </w:rPr>
        <w:t>P</w:t>
      </w:r>
      <w:r w:rsidRPr="00EB4580">
        <w:rPr>
          <w:b/>
          <w:lang w:eastAsia="zh-CN"/>
        </w:rPr>
        <w:t xml:space="preserve">roposal </w:t>
      </w:r>
      <w:r w:rsidR="00BD38B7">
        <w:rPr>
          <w:b/>
          <w:lang w:eastAsia="zh-CN"/>
        </w:rPr>
        <w:t>6</w:t>
      </w:r>
      <w:r w:rsidRPr="00EB4580">
        <w:rPr>
          <w:b/>
          <w:lang w:eastAsia="zh-CN"/>
        </w:rPr>
        <w:t xml:space="preserve">: </w:t>
      </w:r>
      <w:r w:rsidR="0022652A">
        <w:rPr>
          <w:b/>
          <w:lang w:eastAsia="zh-CN"/>
        </w:rPr>
        <w:t>R</w:t>
      </w:r>
      <w:r w:rsidR="0022652A" w:rsidRPr="00EB4580">
        <w:rPr>
          <w:b/>
          <w:lang w:eastAsia="zh-CN"/>
        </w:rPr>
        <w:t xml:space="preserve">RC Resume and Reestablishment procedures can be used for </w:t>
      </w:r>
      <w:r w:rsidR="0022652A">
        <w:rPr>
          <w:b/>
          <w:lang w:eastAsia="zh-CN"/>
        </w:rPr>
        <w:t>the configuration of inference configurations/parameters and applicability reporting</w:t>
      </w:r>
      <w:r w:rsidR="0022652A" w:rsidRPr="00EB4580">
        <w:rPr>
          <w:b/>
          <w:lang w:eastAsia="zh-CN"/>
        </w:rPr>
        <w:t>.</w:t>
      </w:r>
    </w:p>
    <w:p w14:paraId="5EA9E981" w14:textId="4310B6B4" w:rsidR="004219EF" w:rsidRPr="004219EF" w:rsidRDefault="004219EF" w:rsidP="006B653C">
      <w:pPr>
        <w:rPr>
          <w:b/>
          <w:i/>
        </w:rPr>
      </w:pPr>
      <w:r w:rsidRPr="004219EF">
        <w:rPr>
          <w:i/>
          <w:u w:val="single"/>
        </w:rPr>
        <w:t xml:space="preserve">UE-sided </w:t>
      </w:r>
      <w:r w:rsidR="002F3207" w:rsidRPr="004219EF">
        <w:rPr>
          <w:i/>
          <w:u w:val="single"/>
        </w:rPr>
        <w:t>Data Collection</w:t>
      </w:r>
    </w:p>
    <w:p w14:paraId="64079707" w14:textId="46059174" w:rsidR="00E45194" w:rsidRPr="007316FD" w:rsidRDefault="00E45194" w:rsidP="00E45194">
      <w:pPr>
        <w:pStyle w:val="Comments"/>
        <w:spacing w:before="0" w:after="240"/>
        <w:rPr>
          <w:rFonts w:ascii="Times New Roman" w:eastAsia="SimSun" w:hAnsi="Times New Roman"/>
          <w:b/>
          <w:i w:val="0"/>
          <w:noProof w:val="0"/>
          <w:sz w:val="20"/>
          <w:szCs w:val="20"/>
          <w:lang w:val="en-US"/>
        </w:rPr>
      </w:pPr>
      <w:r w:rsidRPr="007316FD">
        <w:rPr>
          <w:rFonts w:ascii="Times New Roman" w:eastAsia="SimSun" w:hAnsi="Times New Roman"/>
          <w:b/>
          <w:i w:val="0"/>
          <w:noProof w:val="0"/>
          <w:sz w:val="20"/>
          <w:szCs w:val="20"/>
          <w:lang w:val="en-US"/>
        </w:rPr>
        <w:t>Proposal</w:t>
      </w:r>
      <w:r>
        <w:rPr>
          <w:rFonts w:ascii="Times New Roman" w:eastAsia="SimSun" w:hAnsi="Times New Roman"/>
          <w:b/>
          <w:i w:val="0"/>
          <w:noProof w:val="0"/>
          <w:sz w:val="20"/>
          <w:szCs w:val="20"/>
          <w:lang w:val="en-US"/>
        </w:rPr>
        <w:t xml:space="preserve"> 7</w:t>
      </w:r>
      <w:r w:rsidRPr="007316FD">
        <w:rPr>
          <w:rFonts w:ascii="Times New Roman" w:eastAsia="SimSun" w:hAnsi="Times New Roman"/>
          <w:b/>
          <w:i w:val="0"/>
          <w:noProof w:val="0"/>
          <w:sz w:val="20"/>
          <w:szCs w:val="20"/>
          <w:lang w:val="en-US"/>
        </w:rPr>
        <w:t xml:space="preserve">: </w:t>
      </w:r>
      <w:r>
        <w:rPr>
          <w:rFonts w:ascii="Times New Roman" w:eastAsia="SimSun" w:hAnsi="Times New Roman"/>
          <w:b/>
          <w:i w:val="0"/>
          <w:noProof w:val="0"/>
          <w:sz w:val="20"/>
          <w:szCs w:val="20"/>
          <w:lang w:val="en-US"/>
        </w:rPr>
        <w:t>For d</w:t>
      </w:r>
      <w:r w:rsidRPr="008D6561">
        <w:rPr>
          <w:rFonts w:ascii="Times New Roman" w:eastAsia="SimSun" w:hAnsi="Times New Roman"/>
          <w:b/>
          <w:i w:val="0"/>
          <w:noProof w:val="0"/>
          <w:sz w:val="20"/>
          <w:szCs w:val="20"/>
          <w:lang w:val="en-US"/>
        </w:rPr>
        <w:t xml:space="preserve">ata </w:t>
      </w:r>
      <w:r>
        <w:rPr>
          <w:rFonts w:ascii="Times New Roman" w:eastAsia="SimSun" w:hAnsi="Times New Roman"/>
          <w:b/>
          <w:i w:val="0"/>
          <w:noProof w:val="0"/>
          <w:sz w:val="20"/>
          <w:szCs w:val="20"/>
          <w:lang w:val="en-US"/>
        </w:rPr>
        <w:t>c</w:t>
      </w:r>
      <w:r w:rsidRPr="008D6561">
        <w:rPr>
          <w:rFonts w:ascii="Times New Roman" w:eastAsia="SimSun" w:hAnsi="Times New Roman"/>
          <w:b/>
          <w:i w:val="0"/>
          <w:noProof w:val="0"/>
          <w:sz w:val="20"/>
          <w:szCs w:val="20"/>
          <w:lang w:val="en-US"/>
        </w:rPr>
        <w:t xml:space="preserve">ollection </w:t>
      </w:r>
      <w:r>
        <w:rPr>
          <w:rFonts w:ascii="Times New Roman" w:eastAsia="SimSun" w:hAnsi="Times New Roman"/>
          <w:b/>
          <w:i w:val="0"/>
          <w:noProof w:val="0"/>
          <w:sz w:val="20"/>
          <w:szCs w:val="20"/>
          <w:lang w:val="en-US"/>
        </w:rPr>
        <w:t>c</w:t>
      </w:r>
      <w:r w:rsidRPr="008D6561">
        <w:rPr>
          <w:rFonts w:ascii="Times New Roman" w:eastAsia="SimSun" w:hAnsi="Times New Roman"/>
          <w:b/>
          <w:i w:val="0"/>
          <w:noProof w:val="0"/>
          <w:sz w:val="20"/>
          <w:szCs w:val="20"/>
          <w:lang w:val="en-US"/>
        </w:rPr>
        <w:t xml:space="preserve">onfiguration with UE </w:t>
      </w:r>
      <w:r>
        <w:rPr>
          <w:rFonts w:ascii="Times New Roman" w:eastAsia="SimSun" w:hAnsi="Times New Roman"/>
          <w:b/>
          <w:i w:val="0"/>
          <w:noProof w:val="0"/>
          <w:sz w:val="20"/>
          <w:szCs w:val="20"/>
          <w:lang w:val="en-US"/>
        </w:rPr>
        <w:t>r</w:t>
      </w:r>
      <w:r w:rsidRPr="008D6561">
        <w:rPr>
          <w:rFonts w:ascii="Times New Roman" w:eastAsia="SimSun" w:hAnsi="Times New Roman"/>
          <w:b/>
          <w:i w:val="0"/>
          <w:noProof w:val="0"/>
          <w:sz w:val="20"/>
          <w:szCs w:val="20"/>
          <w:lang w:val="en-US"/>
        </w:rPr>
        <w:t>equest</w:t>
      </w:r>
      <w:r>
        <w:rPr>
          <w:rFonts w:ascii="Times New Roman" w:eastAsia="SimSun" w:hAnsi="Times New Roman"/>
          <w:b/>
          <w:i w:val="0"/>
          <w:noProof w:val="0"/>
          <w:sz w:val="20"/>
          <w:szCs w:val="20"/>
          <w:lang w:val="en-US"/>
        </w:rPr>
        <w:t>, t</w:t>
      </w:r>
      <w:r w:rsidRPr="007316FD">
        <w:rPr>
          <w:rFonts w:ascii="Times New Roman" w:eastAsia="SimSun" w:hAnsi="Times New Roman"/>
          <w:b/>
          <w:i w:val="0"/>
          <w:noProof w:val="0"/>
          <w:sz w:val="20"/>
          <w:szCs w:val="20"/>
          <w:lang w:val="en-US"/>
        </w:rPr>
        <w:t xml:space="preserve">he </w:t>
      </w:r>
      <w:r>
        <w:rPr>
          <w:rFonts w:ascii="Times New Roman" w:eastAsia="SimSun" w:hAnsi="Times New Roman"/>
          <w:b/>
          <w:i w:val="0"/>
          <w:noProof w:val="0"/>
          <w:sz w:val="20"/>
          <w:szCs w:val="20"/>
          <w:lang w:val="en-US"/>
        </w:rPr>
        <w:t xml:space="preserve">UE provides </w:t>
      </w:r>
      <w:r w:rsidRPr="00F72B65">
        <w:rPr>
          <w:rFonts w:ascii="Times New Roman" w:eastAsia="SimSun" w:hAnsi="Times New Roman"/>
          <w:b/>
          <w:i w:val="0"/>
          <w:noProof w:val="0"/>
          <w:sz w:val="20"/>
          <w:szCs w:val="20"/>
          <w:lang w:val="en-US"/>
        </w:rPr>
        <w:t>suggested data collection configuration</w:t>
      </w:r>
      <w:r w:rsidR="00F41C8C">
        <w:rPr>
          <w:rFonts w:ascii="Times New Roman" w:eastAsia="SimSun" w:hAnsi="Times New Roman"/>
          <w:b/>
          <w:i w:val="0"/>
          <w:noProof w:val="0"/>
          <w:sz w:val="20"/>
          <w:szCs w:val="20"/>
          <w:lang w:val="en-US"/>
        </w:rPr>
        <w:t>s</w:t>
      </w:r>
      <w:r w:rsidRPr="00F72B65">
        <w:rPr>
          <w:rFonts w:ascii="Times New Roman" w:eastAsia="SimSun" w:hAnsi="Times New Roman"/>
          <w:b/>
          <w:i w:val="0"/>
          <w:noProof w:val="0"/>
          <w:sz w:val="20"/>
          <w:szCs w:val="20"/>
          <w:lang w:val="en-US"/>
        </w:rPr>
        <w:t>/associated IDs (if specified and known by the UE)/parameters</w:t>
      </w:r>
      <w:r>
        <w:rPr>
          <w:rFonts w:ascii="Times New Roman" w:eastAsia="SimSun" w:hAnsi="Times New Roman"/>
          <w:b/>
          <w:i w:val="0"/>
          <w:noProof w:val="0"/>
          <w:sz w:val="20"/>
          <w:szCs w:val="20"/>
          <w:lang w:val="en-US"/>
        </w:rPr>
        <w:t xml:space="preserve"> in the </w:t>
      </w:r>
      <w:r w:rsidRPr="007316FD">
        <w:rPr>
          <w:rFonts w:ascii="Times New Roman" w:eastAsia="SimSun" w:hAnsi="Times New Roman"/>
          <w:b/>
          <w:i w:val="0"/>
          <w:noProof w:val="0"/>
          <w:sz w:val="20"/>
          <w:szCs w:val="20"/>
          <w:lang w:val="en-US"/>
        </w:rPr>
        <w:t>data collection request</w:t>
      </w:r>
      <w:r>
        <w:rPr>
          <w:rFonts w:ascii="Times New Roman" w:eastAsia="SimSun" w:hAnsi="Times New Roman"/>
          <w:b/>
          <w:i w:val="0"/>
          <w:noProof w:val="0"/>
          <w:sz w:val="20"/>
          <w:szCs w:val="20"/>
          <w:lang w:val="en-US"/>
        </w:rPr>
        <w:t>.</w:t>
      </w:r>
    </w:p>
    <w:p w14:paraId="05FDA0C7" w14:textId="77777777" w:rsidR="00E45194" w:rsidRPr="00EE74A9" w:rsidRDefault="00E45194" w:rsidP="00E45194">
      <w:pPr>
        <w:spacing w:after="240"/>
        <w:rPr>
          <w:b/>
          <w:lang w:val="en-US"/>
        </w:rPr>
      </w:pPr>
      <w:r w:rsidRPr="00EE74A9">
        <w:rPr>
          <w:b/>
          <w:lang w:val="en-US"/>
        </w:rPr>
        <w:t>Proposal</w:t>
      </w:r>
      <w:r>
        <w:rPr>
          <w:b/>
          <w:lang w:val="en-US"/>
        </w:rPr>
        <w:t xml:space="preserve"> 8</w:t>
      </w:r>
      <w:r w:rsidRPr="008D6561">
        <w:rPr>
          <w:b/>
          <w:lang w:val="en-US"/>
        </w:rPr>
        <w:t>: For data collection configuration with UE request, the</w:t>
      </w:r>
      <w:r w:rsidRPr="00EE74A9">
        <w:rPr>
          <w:b/>
          <w:lang w:val="en-US"/>
        </w:rPr>
        <w:t xml:space="preserve"> NW configures </w:t>
      </w:r>
      <w:r>
        <w:rPr>
          <w:b/>
          <w:lang w:val="en-US"/>
        </w:rPr>
        <w:t xml:space="preserve">supported </w:t>
      </w:r>
      <w:r w:rsidRPr="006D1D5A">
        <w:rPr>
          <w:b/>
          <w:lang w:val="en-US"/>
        </w:rPr>
        <w:t xml:space="preserve">data collection </w:t>
      </w:r>
      <w:r>
        <w:rPr>
          <w:b/>
          <w:lang w:val="en-US"/>
        </w:rPr>
        <w:t>configuration</w:t>
      </w:r>
      <w:r w:rsidRPr="006D1D5A">
        <w:rPr>
          <w:b/>
          <w:lang w:val="en-US"/>
        </w:rPr>
        <w:t xml:space="preserve"> </w:t>
      </w:r>
      <w:r w:rsidRPr="00EE74A9">
        <w:rPr>
          <w:b/>
          <w:lang w:val="en-US"/>
        </w:rPr>
        <w:t xml:space="preserve">information </w:t>
      </w:r>
      <w:r>
        <w:rPr>
          <w:b/>
          <w:lang w:val="en-US"/>
        </w:rPr>
        <w:t>to indicate the supported data collection configuration/associated IDs</w:t>
      </w:r>
      <w:r w:rsidRPr="00EE74A9">
        <w:rPr>
          <w:b/>
          <w:lang w:val="en-US"/>
        </w:rPr>
        <w:t>.</w:t>
      </w:r>
    </w:p>
    <w:p w14:paraId="17985C46" w14:textId="77777777" w:rsidR="00E45194" w:rsidRDefault="00E45194" w:rsidP="00E45194">
      <w:pPr>
        <w:spacing w:after="240"/>
        <w:rPr>
          <w:b/>
          <w:lang w:val="en-US"/>
        </w:rPr>
      </w:pPr>
      <w:r w:rsidRPr="007E1950">
        <w:rPr>
          <w:b/>
          <w:lang w:val="en-US"/>
        </w:rPr>
        <w:t xml:space="preserve">Proposal </w:t>
      </w:r>
      <w:r>
        <w:rPr>
          <w:b/>
          <w:lang w:val="en-US"/>
        </w:rPr>
        <w:t>9</w:t>
      </w:r>
      <w:r w:rsidRPr="007E1950">
        <w:rPr>
          <w:b/>
          <w:lang w:val="en-US"/>
        </w:rPr>
        <w:t xml:space="preserve">: </w:t>
      </w:r>
      <w:r w:rsidRPr="008D6561">
        <w:rPr>
          <w:b/>
          <w:lang w:val="en-US"/>
        </w:rPr>
        <w:t xml:space="preserve">For data collection configuration with UE request, </w:t>
      </w:r>
      <w:r>
        <w:rPr>
          <w:b/>
          <w:lang w:val="en-US"/>
        </w:rPr>
        <w:t>a</w:t>
      </w:r>
      <w:r w:rsidRPr="007E1950">
        <w:rPr>
          <w:b/>
          <w:lang w:val="en-US"/>
        </w:rPr>
        <w:t xml:space="preserve"> prohibit timer is introduced to prevent the UE from immediately re-initiating a data collection request.</w:t>
      </w:r>
      <w:r w:rsidRPr="00D6776F">
        <w:rPr>
          <w:b/>
          <w:lang w:val="en-US"/>
        </w:rPr>
        <w:t xml:space="preserve"> </w:t>
      </w:r>
    </w:p>
    <w:p w14:paraId="403F9CBA" w14:textId="76460604" w:rsidR="00E630C3" w:rsidRDefault="00E45194" w:rsidP="00E630C3">
      <w:pPr>
        <w:rPr>
          <w:b/>
          <w:lang w:val="en-US"/>
        </w:rPr>
      </w:pPr>
      <w:r w:rsidRPr="00DF4C48">
        <w:rPr>
          <w:b/>
          <w:lang w:val="en-US"/>
        </w:rPr>
        <w:t xml:space="preserve">Proposal </w:t>
      </w:r>
      <w:r>
        <w:rPr>
          <w:b/>
          <w:lang w:val="en-US"/>
        </w:rPr>
        <w:t>10</w:t>
      </w:r>
      <w:r w:rsidRPr="00DF4C48">
        <w:rPr>
          <w:b/>
          <w:lang w:val="en-US"/>
        </w:rPr>
        <w:t xml:space="preserve">: </w:t>
      </w:r>
      <w:r>
        <w:rPr>
          <w:b/>
          <w:lang w:val="en-US"/>
        </w:rPr>
        <w:t>For</w:t>
      </w:r>
      <w:r w:rsidRPr="00830A59">
        <w:rPr>
          <w:b/>
          <w:lang w:val="en-US"/>
        </w:rPr>
        <w:t xml:space="preserve"> data collection configuration without UE request</w:t>
      </w:r>
      <w:r>
        <w:rPr>
          <w:b/>
          <w:lang w:val="en-US"/>
        </w:rPr>
        <w:t>, t</w:t>
      </w:r>
      <w:r w:rsidRPr="00830A59">
        <w:rPr>
          <w:b/>
          <w:lang w:val="en-US"/>
        </w:rPr>
        <w:t xml:space="preserve">he </w:t>
      </w:r>
      <w:r>
        <w:rPr>
          <w:b/>
          <w:lang w:val="en-US"/>
        </w:rPr>
        <w:t xml:space="preserve">UE provides </w:t>
      </w:r>
      <w:r w:rsidRPr="00C349F6">
        <w:rPr>
          <w:b/>
          <w:lang w:val="en-US"/>
        </w:rPr>
        <w:t>data collection related capability to the NW</w:t>
      </w:r>
      <w:r>
        <w:rPr>
          <w:b/>
          <w:lang w:val="en-US"/>
        </w:rPr>
        <w:t>.</w:t>
      </w:r>
      <w:r w:rsidRPr="00830A59">
        <w:rPr>
          <w:b/>
          <w:lang w:val="en-US"/>
        </w:rPr>
        <w:t xml:space="preserve"> </w:t>
      </w:r>
      <w:r w:rsidRPr="00DF4C48">
        <w:rPr>
          <w:b/>
          <w:lang w:val="en-US"/>
        </w:rPr>
        <w:t xml:space="preserve"> </w:t>
      </w:r>
    </w:p>
    <w:p w14:paraId="636C5AFE" w14:textId="4F0C669B" w:rsidR="00E630C3" w:rsidRDefault="00E630C3" w:rsidP="00E630C3">
      <w:pPr>
        <w:pStyle w:val="NormalWeb"/>
        <w:rPr>
          <w:rFonts w:eastAsia="SimSun"/>
          <w:b/>
          <w:sz w:val="20"/>
          <w:szCs w:val="20"/>
          <w:lang w:eastAsia="en-GB"/>
        </w:rPr>
      </w:pPr>
      <w:r w:rsidRPr="005B7C1B">
        <w:rPr>
          <w:rFonts w:eastAsia="SimSun"/>
          <w:b/>
          <w:bCs/>
          <w:sz w:val="20"/>
          <w:szCs w:val="20"/>
          <w:lang w:eastAsia="en-GB"/>
        </w:rPr>
        <w:t xml:space="preserve">Proposal </w:t>
      </w:r>
      <w:r w:rsidR="00BD38B7">
        <w:rPr>
          <w:rFonts w:eastAsia="SimSun"/>
          <w:b/>
          <w:bCs/>
          <w:sz w:val="20"/>
          <w:szCs w:val="20"/>
          <w:lang w:eastAsia="en-GB"/>
        </w:rPr>
        <w:t>11</w:t>
      </w:r>
      <w:r w:rsidRPr="005B7C1B">
        <w:rPr>
          <w:rFonts w:eastAsia="SimSun"/>
          <w:b/>
          <w:bCs/>
          <w:sz w:val="20"/>
          <w:szCs w:val="20"/>
          <w:lang w:eastAsia="en-GB"/>
        </w:rPr>
        <w:t>:</w:t>
      </w:r>
      <w:r w:rsidRPr="005B7C1B">
        <w:rPr>
          <w:rFonts w:eastAsia="SimSun"/>
          <w:b/>
          <w:sz w:val="20"/>
          <w:szCs w:val="20"/>
          <w:lang w:eastAsia="en-GB"/>
        </w:rPr>
        <w:t xml:space="preserve"> The UE sends an indication to the NW</w:t>
      </w:r>
      <w:r>
        <w:rPr>
          <w:rFonts w:eastAsia="SimSun"/>
          <w:b/>
          <w:sz w:val="20"/>
          <w:szCs w:val="20"/>
          <w:lang w:eastAsia="en-GB"/>
        </w:rPr>
        <w:t xml:space="preserve"> if unable to perform the configured data collection.</w:t>
      </w:r>
    </w:p>
    <w:p w14:paraId="4427EDC2" w14:textId="429033F4" w:rsidR="00D93205" w:rsidRPr="00E630C3" w:rsidRDefault="00E630C3" w:rsidP="00A97E7A">
      <w:pPr>
        <w:pStyle w:val="NormalWeb"/>
        <w:rPr>
          <w:bCs/>
        </w:rPr>
      </w:pPr>
      <w:r>
        <w:rPr>
          <w:rFonts w:eastAsia="SimSun"/>
          <w:b/>
          <w:sz w:val="20"/>
          <w:szCs w:val="20"/>
          <w:lang w:eastAsia="en-GB"/>
        </w:rPr>
        <w:t xml:space="preserve">Proposal </w:t>
      </w:r>
      <w:r w:rsidR="00BD38B7">
        <w:rPr>
          <w:rFonts w:eastAsia="SimSun"/>
          <w:b/>
          <w:sz w:val="20"/>
          <w:szCs w:val="20"/>
          <w:lang w:eastAsia="en-GB"/>
        </w:rPr>
        <w:t>12</w:t>
      </w:r>
      <w:r>
        <w:rPr>
          <w:rFonts w:eastAsia="SimSun"/>
          <w:b/>
          <w:sz w:val="20"/>
          <w:szCs w:val="20"/>
          <w:lang w:eastAsia="en-GB"/>
        </w:rPr>
        <w:t xml:space="preserve">: The UE sends a failure cause to the NW (e.g., </w:t>
      </w:r>
      <w:r w:rsidRPr="00E32252">
        <w:rPr>
          <w:rFonts w:eastAsia="SimSun"/>
          <w:b/>
          <w:sz w:val="20"/>
          <w:szCs w:val="20"/>
          <w:lang w:eastAsia="en-GB"/>
        </w:rPr>
        <w:t>low power, low memory or overheating</w:t>
      </w:r>
      <w:r>
        <w:rPr>
          <w:rFonts w:eastAsia="SimSun"/>
          <w:b/>
          <w:sz w:val="20"/>
          <w:szCs w:val="20"/>
          <w:lang w:eastAsia="en-GB"/>
        </w:rPr>
        <w:t>,</w:t>
      </w:r>
      <w:r w:rsidRPr="00E32252">
        <w:rPr>
          <w:rFonts w:eastAsia="SimSun"/>
          <w:b/>
          <w:sz w:val="20"/>
          <w:szCs w:val="20"/>
          <w:lang w:eastAsia="en-GB"/>
        </w:rPr>
        <w:t xml:space="preserve"> inconsistency of </w:t>
      </w:r>
      <w:r w:rsidR="008B6FF0">
        <w:rPr>
          <w:rFonts w:eastAsia="SimSun"/>
          <w:b/>
          <w:sz w:val="20"/>
          <w:szCs w:val="20"/>
          <w:lang w:eastAsia="en-GB"/>
        </w:rPr>
        <w:t>U</w:t>
      </w:r>
      <w:r w:rsidRPr="00E32252">
        <w:rPr>
          <w:rFonts w:eastAsia="SimSun"/>
          <w:b/>
          <w:sz w:val="20"/>
          <w:szCs w:val="20"/>
          <w:lang w:eastAsia="en-GB"/>
        </w:rPr>
        <w:t>E/NW-side associated ID).</w:t>
      </w:r>
      <w:bookmarkStart w:id="1" w:name="_GoBack"/>
      <w:bookmarkEnd w:id="1"/>
    </w:p>
    <w:sectPr w:rsidR="00D93205" w:rsidRPr="00E630C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AC601" w14:textId="77777777" w:rsidR="00A74455" w:rsidRDefault="00A74455">
      <w:pPr>
        <w:spacing w:after="0"/>
      </w:pPr>
      <w:r>
        <w:separator/>
      </w:r>
    </w:p>
  </w:endnote>
  <w:endnote w:type="continuationSeparator" w:id="0">
    <w:p w14:paraId="39130868" w14:textId="77777777" w:rsidR="00A74455" w:rsidRDefault="00A744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66D21" w14:textId="77777777" w:rsidR="00A74455" w:rsidRDefault="00A74455">
      <w:pPr>
        <w:spacing w:after="0"/>
      </w:pPr>
      <w:r>
        <w:separator/>
      </w:r>
    </w:p>
  </w:footnote>
  <w:footnote w:type="continuationSeparator" w:id="0">
    <w:p w14:paraId="67EFB4D4" w14:textId="77777777" w:rsidR="00A74455" w:rsidRDefault="00A744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F623A"/>
    <w:multiLevelType w:val="hybridMultilevel"/>
    <w:tmpl w:val="0CA2FB50"/>
    <w:lvl w:ilvl="0" w:tplc="A6F6BB10">
      <w:start w:val="4"/>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81406"/>
    <w:multiLevelType w:val="hybridMultilevel"/>
    <w:tmpl w:val="0A747C42"/>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D552E90"/>
    <w:multiLevelType w:val="hybridMultilevel"/>
    <w:tmpl w:val="0A747C42"/>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2002DA3"/>
    <w:multiLevelType w:val="hybridMultilevel"/>
    <w:tmpl w:val="26088E36"/>
    <w:lvl w:ilvl="0" w:tplc="3F1EEE8C">
      <w:start w:val="4"/>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211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210354"/>
    <w:multiLevelType w:val="multilevel"/>
    <w:tmpl w:val="B9EC47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A163BEF"/>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FA62A56"/>
    <w:multiLevelType w:val="hybridMultilevel"/>
    <w:tmpl w:val="9C4CA09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AD44F0"/>
    <w:multiLevelType w:val="hybridMultilevel"/>
    <w:tmpl w:val="F418E83E"/>
    <w:lvl w:ilvl="0" w:tplc="042E9AB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2" w15:restartNumberingAfterBreak="0">
    <w:nsid w:val="34EF62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A46647"/>
    <w:multiLevelType w:val="hybridMultilevel"/>
    <w:tmpl w:val="B0A4EEEE"/>
    <w:lvl w:ilvl="0" w:tplc="B0448D5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5E3936"/>
    <w:multiLevelType w:val="hybridMultilevel"/>
    <w:tmpl w:val="F43676D6"/>
    <w:lvl w:ilvl="0" w:tplc="2000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1A7A70"/>
    <w:multiLevelType w:val="hybridMultilevel"/>
    <w:tmpl w:val="FAD45014"/>
    <w:lvl w:ilvl="0" w:tplc="7108D98E">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C4028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B123A1"/>
    <w:multiLevelType w:val="hybridMultilevel"/>
    <w:tmpl w:val="1624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5E03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D7A3E67"/>
    <w:multiLevelType w:val="hybridMultilevel"/>
    <w:tmpl w:val="766441B8"/>
    <w:lvl w:ilvl="0" w:tplc="6B865BF6">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92086A"/>
    <w:multiLevelType w:val="hybridMultilevel"/>
    <w:tmpl w:val="EADA4A70"/>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71C33FF"/>
    <w:multiLevelType w:val="hybridMultilevel"/>
    <w:tmpl w:val="0F44171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D25978"/>
    <w:multiLevelType w:val="multilevel"/>
    <w:tmpl w:val="12E4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FD2719"/>
    <w:multiLevelType w:val="hybridMultilevel"/>
    <w:tmpl w:val="3C20F6BA"/>
    <w:lvl w:ilvl="0" w:tplc="83A4AFBC">
      <w:numFmt w:val="bullet"/>
      <w:lvlText w:val="-"/>
      <w:lvlJc w:val="left"/>
      <w:pPr>
        <w:ind w:left="720" w:hanging="360"/>
      </w:pPr>
      <w:rPr>
        <w:rFonts w:ascii="Arial" w:eastAsia="PMingLiU"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0B5E7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C95453"/>
    <w:multiLevelType w:val="hybridMultilevel"/>
    <w:tmpl w:val="8040AD1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D054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BA687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E7F6885"/>
    <w:multiLevelType w:val="hybridMultilevel"/>
    <w:tmpl w:val="09C06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5A24996"/>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7923C0"/>
    <w:multiLevelType w:val="hybridMultilevel"/>
    <w:tmpl w:val="74EABBD8"/>
    <w:lvl w:ilvl="0" w:tplc="49F475DC">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A635D6"/>
    <w:multiLevelType w:val="hybridMultilevel"/>
    <w:tmpl w:val="2CBEE0E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0657D6"/>
    <w:multiLevelType w:val="multilevel"/>
    <w:tmpl w:val="AF32C314"/>
    <w:lvl w:ilvl="0">
      <w:start w:val="1"/>
      <mc:AlternateContent>
        <mc:Choice Requires="w14">
          <w:numFmt w:val="custom" w:format="0001, 0002, 0003, ..."/>
        </mc:Choice>
        <mc:Fallback>
          <w:numFmt w:val="decimal"/>
        </mc:Fallback>
      </mc:AlternateContent>
      <w:lvlRestart w:val="0"/>
      <w:pStyle w:val="para099"/>
      <w:suff w:val="space"/>
      <w:lvlText w:val="[%1]    "/>
      <w:lvlJc w:val="left"/>
      <w:pPr>
        <w:ind w:left="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0"/>
      <mc:AlternateContent>
        <mc:Choice Requires="w14">
          <w:numFmt w:val="custom" w:format="0001, 0002, 0003, ..."/>
        </mc:Choice>
        <mc:Fallback>
          <w:numFmt w:val="decimal"/>
        </mc:Fallback>
      </mc:AlternateContent>
      <w:lvlRestart w:val="0"/>
      <w:pStyle w:val="para100"/>
      <w:suff w:val="nothing"/>
      <w:lvlText w:val="[%2]    "/>
      <w:lvlJc w:val="left"/>
      <w:pPr>
        <w:ind w:left="0" w:firstLine="0"/>
      </w:pPr>
      <w:rPr>
        <w:rFonts w:ascii="Arial Bold" w:hAnsi="Arial Bold" w:cs="Times New Roman" w:hint="default"/>
        <w:b/>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76864648"/>
    <w:multiLevelType w:val="hybridMultilevel"/>
    <w:tmpl w:val="DE88B984"/>
    <w:lvl w:ilvl="0" w:tplc="D222DB9E">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27"/>
  </w:num>
  <w:num w:numId="3">
    <w:abstractNumId w:val="21"/>
  </w:num>
  <w:num w:numId="4">
    <w:abstractNumId w:val="6"/>
  </w:num>
  <w:num w:numId="5">
    <w:abstractNumId w:val="26"/>
  </w:num>
  <w:num w:numId="6">
    <w:abstractNumId w:val="41"/>
  </w:num>
  <w:num w:numId="7">
    <w:abstractNumId w:val="36"/>
  </w:num>
  <w:num w:numId="8">
    <w:abstractNumId w:val="25"/>
  </w:num>
  <w:num w:numId="9">
    <w:abstractNumId w:val="33"/>
  </w:num>
  <w:num w:numId="10">
    <w:abstractNumId w:val="24"/>
  </w:num>
  <w:num w:numId="11">
    <w:abstractNumId w:val="40"/>
  </w:num>
  <w:num w:numId="12">
    <w:abstractNumId w:val="7"/>
  </w:num>
  <w:num w:numId="13">
    <w:abstractNumId w:val="3"/>
  </w:num>
  <w:num w:numId="14">
    <w:abstractNumId w:val="15"/>
  </w:num>
  <w:num w:numId="15">
    <w:abstractNumId w:val="39"/>
  </w:num>
  <w:num w:numId="16">
    <w:abstractNumId w:val="22"/>
  </w:num>
  <w:num w:numId="17">
    <w:abstractNumId w:val="32"/>
  </w:num>
  <w:num w:numId="18">
    <w:abstractNumId w:val="9"/>
  </w:num>
  <w:num w:numId="19">
    <w:abstractNumId w:val="1"/>
  </w:num>
  <w:num w:numId="20">
    <w:abstractNumId w:val="8"/>
  </w:num>
  <w:num w:numId="21">
    <w:abstractNumId w:val="29"/>
  </w:num>
  <w:num w:numId="22">
    <w:abstractNumId w:val="19"/>
  </w:num>
  <w:num w:numId="23">
    <w:abstractNumId w:val="0"/>
  </w:num>
  <w:num w:numId="24">
    <w:abstractNumId w:val="10"/>
  </w:num>
  <w:num w:numId="25">
    <w:abstractNumId w:val="4"/>
  </w:num>
  <w:num w:numId="26">
    <w:abstractNumId w:val="30"/>
  </w:num>
  <w:num w:numId="27">
    <w:abstractNumId w:val="31"/>
  </w:num>
  <w:num w:numId="28">
    <w:abstractNumId w:val="28"/>
  </w:num>
  <w:num w:numId="29">
    <w:abstractNumId w:val="20"/>
  </w:num>
  <w:num w:numId="30">
    <w:abstractNumId w:val="23"/>
  </w:num>
  <w:num w:numId="31">
    <w:abstractNumId w:val="37"/>
  </w:num>
  <w:num w:numId="32">
    <w:abstractNumId w:val="34"/>
  </w:num>
  <w:num w:numId="33">
    <w:abstractNumId w:val="14"/>
  </w:num>
  <w:num w:numId="34">
    <w:abstractNumId w:val="18"/>
  </w:num>
  <w:num w:numId="35">
    <w:abstractNumId w:val="17"/>
  </w:num>
  <w:num w:numId="36">
    <w:abstractNumId w:val="5"/>
  </w:num>
  <w:num w:numId="37">
    <w:abstractNumId w:val="38"/>
  </w:num>
  <w:num w:numId="38">
    <w:abstractNumId w:val="13"/>
  </w:num>
  <w:num w:numId="39">
    <w:abstractNumId w:val="2"/>
  </w:num>
  <w:num w:numId="40">
    <w:abstractNumId w:val="42"/>
  </w:num>
  <w:num w:numId="41">
    <w:abstractNumId w:val="11"/>
  </w:num>
  <w:num w:numId="42">
    <w:abstractNumId w:val="16"/>
  </w:num>
  <w:num w:numId="43">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229"/>
    <w:rsid w:val="0000486E"/>
    <w:rsid w:val="00007121"/>
    <w:rsid w:val="000071A3"/>
    <w:rsid w:val="000111EA"/>
    <w:rsid w:val="00012852"/>
    <w:rsid w:val="00012DF5"/>
    <w:rsid w:val="00017AA4"/>
    <w:rsid w:val="00017F23"/>
    <w:rsid w:val="00021411"/>
    <w:rsid w:val="000249B5"/>
    <w:rsid w:val="000278A8"/>
    <w:rsid w:val="00031497"/>
    <w:rsid w:val="000645BC"/>
    <w:rsid w:val="0006583D"/>
    <w:rsid w:val="00065862"/>
    <w:rsid w:val="00065E4E"/>
    <w:rsid w:val="000711AA"/>
    <w:rsid w:val="00071DF2"/>
    <w:rsid w:val="00077C86"/>
    <w:rsid w:val="000816C3"/>
    <w:rsid w:val="00086064"/>
    <w:rsid w:val="000876A4"/>
    <w:rsid w:val="00092108"/>
    <w:rsid w:val="00094250"/>
    <w:rsid w:val="00095CF4"/>
    <w:rsid w:val="00097019"/>
    <w:rsid w:val="00097F2A"/>
    <w:rsid w:val="000B2818"/>
    <w:rsid w:val="000B3B70"/>
    <w:rsid w:val="000B47DF"/>
    <w:rsid w:val="000B6185"/>
    <w:rsid w:val="000C0375"/>
    <w:rsid w:val="000C12B6"/>
    <w:rsid w:val="000C151B"/>
    <w:rsid w:val="000C1922"/>
    <w:rsid w:val="000C28B5"/>
    <w:rsid w:val="000D07E9"/>
    <w:rsid w:val="000E1125"/>
    <w:rsid w:val="000E152C"/>
    <w:rsid w:val="000F6242"/>
    <w:rsid w:val="00104C6F"/>
    <w:rsid w:val="001071CE"/>
    <w:rsid w:val="001135FD"/>
    <w:rsid w:val="001144B2"/>
    <w:rsid w:val="00114C7F"/>
    <w:rsid w:val="001154B3"/>
    <w:rsid w:val="001159DA"/>
    <w:rsid w:val="001161DA"/>
    <w:rsid w:val="0011794D"/>
    <w:rsid w:val="001243BD"/>
    <w:rsid w:val="001327D9"/>
    <w:rsid w:val="00133092"/>
    <w:rsid w:val="0013428F"/>
    <w:rsid w:val="00134730"/>
    <w:rsid w:val="00136E40"/>
    <w:rsid w:val="00140CD3"/>
    <w:rsid w:val="00140EB4"/>
    <w:rsid w:val="0014166B"/>
    <w:rsid w:val="001418C5"/>
    <w:rsid w:val="0014437B"/>
    <w:rsid w:val="00151023"/>
    <w:rsid w:val="00151A60"/>
    <w:rsid w:val="0015375E"/>
    <w:rsid w:val="00154F98"/>
    <w:rsid w:val="00164688"/>
    <w:rsid w:val="00166BC4"/>
    <w:rsid w:val="00167162"/>
    <w:rsid w:val="00171406"/>
    <w:rsid w:val="00175724"/>
    <w:rsid w:val="00177E81"/>
    <w:rsid w:val="00182E0F"/>
    <w:rsid w:val="00184EB9"/>
    <w:rsid w:val="001852FA"/>
    <w:rsid w:val="00186A10"/>
    <w:rsid w:val="001873F0"/>
    <w:rsid w:val="00190703"/>
    <w:rsid w:val="00192040"/>
    <w:rsid w:val="00196F88"/>
    <w:rsid w:val="001A0218"/>
    <w:rsid w:val="001A0B48"/>
    <w:rsid w:val="001B1E73"/>
    <w:rsid w:val="001B2623"/>
    <w:rsid w:val="001B65F6"/>
    <w:rsid w:val="001C0592"/>
    <w:rsid w:val="001C7083"/>
    <w:rsid w:val="001C73F4"/>
    <w:rsid w:val="001C7EC1"/>
    <w:rsid w:val="001D2C21"/>
    <w:rsid w:val="001D4400"/>
    <w:rsid w:val="001D5372"/>
    <w:rsid w:val="001E5D19"/>
    <w:rsid w:val="001F1961"/>
    <w:rsid w:val="001F1CBE"/>
    <w:rsid w:val="001F1ECE"/>
    <w:rsid w:val="0020015C"/>
    <w:rsid w:val="00200171"/>
    <w:rsid w:val="0020246D"/>
    <w:rsid w:val="002030B4"/>
    <w:rsid w:val="002037EE"/>
    <w:rsid w:val="002105C4"/>
    <w:rsid w:val="002113D1"/>
    <w:rsid w:val="00213151"/>
    <w:rsid w:val="0022652A"/>
    <w:rsid w:val="00230063"/>
    <w:rsid w:val="00232771"/>
    <w:rsid w:val="00232C49"/>
    <w:rsid w:val="00232EE5"/>
    <w:rsid w:val="00236D64"/>
    <w:rsid w:val="002400DA"/>
    <w:rsid w:val="002435AB"/>
    <w:rsid w:val="0025175F"/>
    <w:rsid w:val="002578C6"/>
    <w:rsid w:val="00262BB6"/>
    <w:rsid w:val="00265023"/>
    <w:rsid w:val="00266958"/>
    <w:rsid w:val="00270740"/>
    <w:rsid w:val="002742E5"/>
    <w:rsid w:val="00276CDD"/>
    <w:rsid w:val="002811C1"/>
    <w:rsid w:val="002834B6"/>
    <w:rsid w:val="002841A1"/>
    <w:rsid w:val="0029331B"/>
    <w:rsid w:val="00294E64"/>
    <w:rsid w:val="00295F5A"/>
    <w:rsid w:val="002A1E7C"/>
    <w:rsid w:val="002A2A89"/>
    <w:rsid w:val="002A4525"/>
    <w:rsid w:val="002A5534"/>
    <w:rsid w:val="002B6083"/>
    <w:rsid w:val="002B6E9F"/>
    <w:rsid w:val="002B7695"/>
    <w:rsid w:val="002D05FB"/>
    <w:rsid w:val="002D5BC5"/>
    <w:rsid w:val="002E2FDC"/>
    <w:rsid w:val="002E59CC"/>
    <w:rsid w:val="002E5F06"/>
    <w:rsid w:val="002E7402"/>
    <w:rsid w:val="002F0BB4"/>
    <w:rsid w:val="002F1940"/>
    <w:rsid w:val="002F3207"/>
    <w:rsid w:val="002F705B"/>
    <w:rsid w:val="002F72A3"/>
    <w:rsid w:val="00300D29"/>
    <w:rsid w:val="00301DC2"/>
    <w:rsid w:val="003026D9"/>
    <w:rsid w:val="00304BDA"/>
    <w:rsid w:val="003065F3"/>
    <w:rsid w:val="0031116F"/>
    <w:rsid w:val="003127D3"/>
    <w:rsid w:val="00323196"/>
    <w:rsid w:val="003272D1"/>
    <w:rsid w:val="0033058C"/>
    <w:rsid w:val="00330DDE"/>
    <w:rsid w:val="00335B66"/>
    <w:rsid w:val="0033711C"/>
    <w:rsid w:val="003434FA"/>
    <w:rsid w:val="00346B0B"/>
    <w:rsid w:val="00351A2F"/>
    <w:rsid w:val="00355A03"/>
    <w:rsid w:val="00356E14"/>
    <w:rsid w:val="003576B4"/>
    <w:rsid w:val="0036031A"/>
    <w:rsid w:val="0036246B"/>
    <w:rsid w:val="00365D36"/>
    <w:rsid w:val="00370259"/>
    <w:rsid w:val="003744F8"/>
    <w:rsid w:val="0037520B"/>
    <w:rsid w:val="00375993"/>
    <w:rsid w:val="00376B36"/>
    <w:rsid w:val="00377918"/>
    <w:rsid w:val="00381059"/>
    <w:rsid w:val="0038134D"/>
    <w:rsid w:val="00382404"/>
    <w:rsid w:val="00383545"/>
    <w:rsid w:val="0039333D"/>
    <w:rsid w:val="00394D03"/>
    <w:rsid w:val="003A1B89"/>
    <w:rsid w:val="003A7287"/>
    <w:rsid w:val="003B0F12"/>
    <w:rsid w:val="003B2343"/>
    <w:rsid w:val="003B4649"/>
    <w:rsid w:val="003B7B12"/>
    <w:rsid w:val="003C6FE1"/>
    <w:rsid w:val="003D27BF"/>
    <w:rsid w:val="003D3142"/>
    <w:rsid w:val="003D35AC"/>
    <w:rsid w:val="003D51FA"/>
    <w:rsid w:val="003E4315"/>
    <w:rsid w:val="003E58BB"/>
    <w:rsid w:val="003E6F93"/>
    <w:rsid w:val="003F1F8E"/>
    <w:rsid w:val="003F2157"/>
    <w:rsid w:val="003F25D4"/>
    <w:rsid w:val="0040328B"/>
    <w:rsid w:val="004035D1"/>
    <w:rsid w:val="00406951"/>
    <w:rsid w:val="004103C1"/>
    <w:rsid w:val="00412448"/>
    <w:rsid w:val="004134A1"/>
    <w:rsid w:val="004177E4"/>
    <w:rsid w:val="00421763"/>
    <w:rsid w:val="004219EF"/>
    <w:rsid w:val="00422113"/>
    <w:rsid w:val="004225B1"/>
    <w:rsid w:val="00433500"/>
    <w:rsid w:val="00433F71"/>
    <w:rsid w:val="00440D43"/>
    <w:rsid w:val="004464E9"/>
    <w:rsid w:val="00452397"/>
    <w:rsid w:val="00454D74"/>
    <w:rsid w:val="00456201"/>
    <w:rsid w:val="0045703C"/>
    <w:rsid w:val="004649D5"/>
    <w:rsid w:val="00464FBF"/>
    <w:rsid w:val="004660D2"/>
    <w:rsid w:val="0046726B"/>
    <w:rsid w:val="00467A42"/>
    <w:rsid w:val="00470271"/>
    <w:rsid w:val="00473951"/>
    <w:rsid w:val="00477AF0"/>
    <w:rsid w:val="004849C7"/>
    <w:rsid w:val="004947C5"/>
    <w:rsid w:val="00496BC5"/>
    <w:rsid w:val="004A0819"/>
    <w:rsid w:val="004A30B4"/>
    <w:rsid w:val="004A52E1"/>
    <w:rsid w:val="004B0365"/>
    <w:rsid w:val="004B18C4"/>
    <w:rsid w:val="004B614B"/>
    <w:rsid w:val="004B7112"/>
    <w:rsid w:val="004C06AC"/>
    <w:rsid w:val="004C2F82"/>
    <w:rsid w:val="004D12F6"/>
    <w:rsid w:val="004D15C4"/>
    <w:rsid w:val="004D2588"/>
    <w:rsid w:val="004D3CA7"/>
    <w:rsid w:val="004D495B"/>
    <w:rsid w:val="004D57B1"/>
    <w:rsid w:val="004E2CA7"/>
    <w:rsid w:val="004E3939"/>
    <w:rsid w:val="004E6EDE"/>
    <w:rsid w:val="004F6290"/>
    <w:rsid w:val="004F73C8"/>
    <w:rsid w:val="004F7B4D"/>
    <w:rsid w:val="005069D8"/>
    <w:rsid w:val="00507183"/>
    <w:rsid w:val="00512D32"/>
    <w:rsid w:val="005142CB"/>
    <w:rsid w:val="0052156B"/>
    <w:rsid w:val="00521B91"/>
    <w:rsid w:val="00523E4F"/>
    <w:rsid w:val="00525BD4"/>
    <w:rsid w:val="0052656C"/>
    <w:rsid w:val="00530D49"/>
    <w:rsid w:val="00534908"/>
    <w:rsid w:val="00535740"/>
    <w:rsid w:val="00536B2C"/>
    <w:rsid w:val="00536BCE"/>
    <w:rsid w:val="00536D0A"/>
    <w:rsid w:val="00540868"/>
    <w:rsid w:val="00540BA8"/>
    <w:rsid w:val="00551460"/>
    <w:rsid w:val="00552084"/>
    <w:rsid w:val="0055551D"/>
    <w:rsid w:val="0055570B"/>
    <w:rsid w:val="00565B34"/>
    <w:rsid w:val="00567E04"/>
    <w:rsid w:val="005725FC"/>
    <w:rsid w:val="0057527C"/>
    <w:rsid w:val="0058054D"/>
    <w:rsid w:val="005807CE"/>
    <w:rsid w:val="0058137B"/>
    <w:rsid w:val="005863ED"/>
    <w:rsid w:val="00590F10"/>
    <w:rsid w:val="00591862"/>
    <w:rsid w:val="005948C5"/>
    <w:rsid w:val="005A2238"/>
    <w:rsid w:val="005B5577"/>
    <w:rsid w:val="005B6A1F"/>
    <w:rsid w:val="005B7C1B"/>
    <w:rsid w:val="005C0006"/>
    <w:rsid w:val="005C01FE"/>
    <w:rsid w:val="005C06C6"/>
    <w:rsid w:val="005C5256"/>
    <w:rsid w:val="005C69BC"/>
    <w:rsid w:val="005C75D8"/>
    <w:rsid w:val="005D0317"/>
    <w:rsid w:val="005D1B69"/>
    <w:rsid w:val="005D32B2"/>
    <w:rsid w:val="005D5020"/>
    <w:rsid w:val="005D5294"/>
    <w:rsid w:val="005D687B"/>
    <w:rsid w:val="005E0ADC"/>
    <w:rsid w:val="005E23AA"/>
    <w:rsid w:val="005E2933"/>
    <w:rsid w:val="005E384B"/>
    <w:rsid w:val="005E43CC"/>
    <w:rsid w:val="005E626D"/>
    <w:rsid w:val="005E6BE5"/>
    <w:rsid w:val="005E7827"/>
    <w:rsid w:val="005F0F2F"/>
    <w:rsid w:val="005F397F"/>
    <w:rsid w:val="005F4EE1"/>
    <w:rsid w:val="005F7350"/>
    <w:rsid w:val="00605C36"/>
    <w:rsid w:val="00617BE1"/>
    <w:rsid w:val="00622731"/>
    <w:rsid w:val="00622B12"/>
    <w:rsid w:val="006254B3"/>
    <w:rsid w:val="006318F5"/>
    <w:rsid w:val="00631F24"/>
    <w:rsid w:val="00632864"/>
    <w:rsid w:val="00632C31"/>
    <w:rsid w:val="00633B42"/>
    <w:rsid w:val="00640AA6"/>
    <w:rsid w:val="0064124D"/>
    <w:rsid w:val="00641ACC"/>
    <w:rsid w:val="006435CD"/>
    <w:rsid w:val="006437D8"/>
    <w:rsid w:val="006444BF"/>
    <w:rsid w:val="00645657"/>
    <w:rsid w:val="00645DCB"/>
    <w:rsid w:val="00646093"/>
    <w:rsid w:val="0065728D"/>
    <w:rsid w:val="006656CD"/>
    <w:rsid w:val="00666A30"/>
    <w:rsid w:val="00671865"/>
    <w:rsid w:val="006735B7"/>
    <w:rsid w:val="00675235"/>
    <w:rsid w:val="00677449"/>
    <w:rsid w:val="006775B1"/>
    <w:rsid w:val="00683AE0"/>
    <w:rsid w:val="00690270"/>
    <w:rsid w:val="00691256"/>
    <w:rsid w:val="00692F4F"/>
    <w:rsid w:val="00693E46"/>
    <w:rsid w:val="006941AF"/>
    <w:rsid w:val="006A34CC"/>
    <w:rsid w:val="006A3A7D"/>
    <w:rsid w:val="006B2D3D"/>
    <w:rsid w:val="006B588B"/>
    <w:rsid w:val="006B653C"/>
    <w:rsid w:val="006B7103"/>
    <w:rsid w:val="006C0B7A"/>
    <w:rsid w:val="006C1FC6"/>
    <w:rsid w:val="006C4ADC"/>
    <w:rsid w:val="006C612B"/>
    <w:rsid w:val="006C6DED"/>
    <w:rsid w:val="006D131E"/>
    <w:rsid w:val="006D1D5A"/>
    <w:rsid w:val="006D2E0D"/>
    <w:rsid w:val="006D33C0"/>
    <w:rsid w:val="006E2568"/>
    <w:rsid w:val="006E2580"/>
    <w:rsid w:val="006E2E1D"/>
    <w:rsid w:val="006E604C"/>
    <w:rsid w:val="006E60C1"/>
    <w:rsid w:val="006F4032"/>
    <w:rsid w:val="006F4BA2"/>
    <w:rsid w:val="00705B9D"/>
    <w:rsid w:val="00711BF7"/>
    <w:rsid w:val="007120BC"/>
    <w:rsid w:val="0071520E"/>
    <w:rsid w:val="0071585F"/>
    <w:rsid w:val="0072746A"/>
    <w:rsid w:val="00727A18"/>
    <w:rsid w:val="00730C49"/>
    <w:rsid w:val="007316FD"/>
    <w:rsid w:val="00732D4C"/>
    <w:rsid w:val="00733125"/>
    <w:rsid w:val="00737045"/>
    <w:rsid w:val="00745E22"/>
    <w:rsid w:val="00753689"/>
    <w:rsid w:val="00754AA8"/>
    <w:rsid w:val="007630F8"/>
    <w:rsid w:val="00766089"/>
    <w:rsid w:val="0077547C"/>
    <w:rsid w:val="00775E31"/>
    <w:rsid w:val="00776FEC"/>
    <w:rsid w:val="00777B11"/>
    <w:rsid w:val="00781C45"/>
    <w:rsid w:val="00781F85"/>
    <w:rsid w:val="0079550C"/>
    <w:rsid w:val="00796791"/>
    <w:rsid w:val="00797F3F"/>
    <w:rsid w:val="007A03BF"/>
    <w:rsid w:val="007A35AC"/>
    <w:rsid w:val="007A4DF9"/>
    <w:rsid w:val="007B6320"/>
    <w:rsid w:val="007B7493"/>
    <w:rsid w:val="007B7F7C"/>
    <w:rsid w:val="007C36BD"/>
    <w:rsid w:val="007C53BA"/>
    <w:rsid w:val="007C62BE"/>
    <w:rsid w:val="007C683D"/>
    <w:rsid w:val="007D01F4"/>
    <w:rsid w:val="007D2FB9"/>
    <w:rsid w:val="007D433F"/>
    <w:rsid w:val="007D5248"/>
    <w:rsid w:val="007D5D34"/>
    <w:rsid w:val="007E1950"/>
    <w:rsid w:val="007E2902"/>
    <w:rsid w:val="007F0A87"/>
    <w:rsid w:val="007F1708"/>
    <w:rsid w:val="007F4F92"/>
    <w:rsid w:val="007F64F9"/>
    <w:rsid w:val="0080276B"/>
    <w:rsid w:val="00804DBC"/>
    <w:rsid w:val="00805341"/>
    <w:rsid w:val="00806AD0"/>
    <w:rsid w:val="00807393"/>
    <w:rsid w:val="0081069B"/>
    <w:rsid w:val="008112B0"/>
    <w:rsid w:val="00811B43"/>
    <w:rsid w:val="008178D3"/>
    <w:rsid w:val="008305DD"/>
    <w:rsid w:val="00830A59"/>
    <w:rsid w:val="0083542A"/>
    <w:rsid w:val="00836231"/>
    <w:rsid w:val="008370EE"/>
    <w:rsid w:val="00841291"/>
    <w:rsid w:val="00842777"/>
    <w:rsid w:val="008521B4"/>
    <w:rsid w:val="00856D7D"/>
    <w:rsid w:val="00860950"/>
    <w:rsid w:val="00860D50"/>
    <w:rsid w:val="00861047"/>
    <w:rsid w:val="00866504"/>
    <w:rsid w:val="00872017"/>
    <w:rsid w:val="00872F06"/>
    <w:rsid w:val="00874A32"/>
    <w:rsid w:val="0087701E"/>
    <w:rsid w:val="0087764A"/>
    <w:rsid w:val="008776A0"/>
    <w:rsid w:val="008801E4"/>
    <w:rsid w:val="00881FB0"/>
    <w:rsid w:val="00887BF1"/>
    <w:rsid w:val="00887FC2"/>
    <w:rsid w:val="00894912"/>
    <w:rsid w:val="00894A67"/>
    <w:rsid w:val="00895A8D"/>
    <w:rsid w:val="00895B51"/>
    <w:rsid w:val="00895ED3"/>
    <w:rsid w:val="008A0112"/>
    <w:rsid w:val="008A267B"/>
    <w:rsid w:val="008A316E"/>
    <w:rsid w:val="008A4523"/>
    <w:rsid w:val="008B1962"/>
    <w:rsid w:val="008B6E23"/>
    <w:rsid w:val="008B6FF0"/>
    <w:rsid w:val="008C1DEC"/>
    <w:rsid w:val="008C7432"/>
    <w:rsid w:val="008D1A0C"/>
    <w:rsid w:val="008D2AB1"/>
    <w:rsid w:val="008D444E"/>
    <w:rsid w:val="008D4F6B"/>
    <w:rsid w:val="008D58E4"/>
    <w:rsid w:val="008D6561"/>
    <w:rsid w:val="008D6E25"/>
    <w:rsid w:val="008D772F"/>
    <w:rsid w:val="008E2E07"/>
    <w:rsid w:val="008E3ACE"/>
    <w:rsid w:val="008F0AEC"/>
    <w:rsid w:val="008F759A"/>
    <w:rsid w:val="00914960"/>
    <w:rsid w:val="009158F9"/>
    <w:rsid w:val="00917500"/>
    <w:rsid w:val="00917E04"/>
    <w:rsid w:val="009210C7"/>
    <w:rsid w:val="00922C64"/>
    <w:rsid w:val="009230AF"/>
    <w:rsid w:val="00923C49"/>
    <w:rsid w:val="00932A89"/>
    <w:rsid w:val="009336A1"/>
    <w:rsid w:val="00933863"/>
    <w:rsid w:val="009379CE"/>
    <w:rsid w:val="00940667"/>
    <w:rsid w:val="009508D8"/>
    <w:rsid w:val="009530CF"/>
    <w:rsid w:val="0095340E"/>
    <w:rsid w:val="009537D9"/>
    <w:rsid w:val="00957AE6"/>
    <w:rsid w:val="00960315"/>
    <w:rsid w:val="00960C4D"/>
    <w:rsid w:val="009610F6"/>
    <w:rsid w:val="00961B52"/>
    <w:rsid w:val="009629BA"/>
    <w:rsid w:val="009653BE"/>
    <w:rsid w:val="00967C6A"/>
    <w:rsid w:val="00970312"/>
    <w:rsid w:val="009705BE"/>
    <w:rsid w:val="00980919"/>
    <w:rsid w:val="00980FB9"/>
    <w:rsid w:val="009848FD"/>
    <w:rsid w:val="00990700"/>
    <w:rsid w:val="00992540"/>
    <w:rsid w:val="00995A51"/>
    <w:rsid w:val="00995C45"/>
    <w:rsid w:val="0099764C"/>
    <w:rsid w:val="00997680"/>
    <w:rsid w:val="009A2CE3"/>
    <w:rsid w:val="009A6357"/>
    <w:rsid w:val="009A7197"/>
    <w:rsid w:val="009A7809"/>
    <w:rsid w:val="009B0990"/>
    <w:rsid w:val="009B151D"/>
    <w:rsid w:val="009B393B"/>
    <w:rsid w:val="009B49DD"/>
    <w:rsid w:val="009B5AD2"/>
    <w:rsid w:val="009B5F2E"/>
    <w:rsid w:val="009B6101"/>
    <w:rsid w:val="009B7079"/>
    <w:rsid w:val="009C05AB"/>
    <w:rsid w:val="009C4C15"/>
    <w:rsid w:val="009C74A5"/>
    <w:rsid w:val="009C7CE6"/>
    <w:rsid w:val="009D469C"/>
    <w:rsid w:val="009D5042"/>
    <w:rsid w:val="009D5A9F"/>
    <w:rsid w:val="009E61C4"/>
    <w:rsid w:val="009F17BF"/>
    <w:rsid w:val="009F5397"/>
    <w:rsid w:val="00A029B0"/>
    <w:rsid w:val="00A06880"/>
    <w:rsid w:val="00A06AB0"/>
    <w:rsid w:val="00A129AE"/>
    <w:rsid w:val="00A12E84"/>
    <w:rsid w:val="00A14572"/>
    <w:rsid w:val="00A14FEB"/>
    <w:rsid w:val="00A156CA"/>
    <w:rsid w:val="00A16C74"/>
    <w:rsid w:val="00A170F6"/>
    <w:rsid w:val="00A17BF2"/>
    <w:rsid w:val="00A17F7E"/>
    <w:rsid w:val="00A21663"/>
    <w:rsid w:val="00A263E2"/>
    <w:rsid w:val="00A2663E"/>
    <w:rsid w:val="00A30C68"/>
    <w:rsid w:val="00A36455"/>
    <w:rsid w:val="00A379F1"/>
    <w:rsid w:val="00A45798"/>
    <w:rsid w:val="00A470F2"/>
    <w:rsid w:val="00A50E57"/>
    <w:rsid w:val="00A52A2E"/>
    <w:rsid w:val="00A5529F"/>
    <w:rsid w:val="00A56A05"/>
    <w:rsid w:val="00A56C4F"/>
    <w:rsid w:val="00A57F81"/>
    <w:rsid w:val="00A6283A"/>
    <w:rsid w:val="00A65454"/>
    <w:rsid w:val="00A671C1"/>
    <w:rsid w:val="00A739D6"/>
    <w:rsid w:val="00A74455"/>
    <w:rsid w:val="00A74EEE"/>
    <w:rsid w:val="00A82923"/>
    <w:rsid w:val="00A83361"/>
    <w:rsid w:val="00A84894"/>
    <w:rsid w:val="00A86FEC"/>
    <w:rsid w:val="00A923CB"/>
    <w:rsid w:val="00A92961"/>
    <w:rsid w:val="00A93631"/>
    <w:rsid w:val="00A95C55"/>
    <w:rsid w:val="00A9712C"/>
    <w:rsid w:val="00A97E7A"/>
    <w:rsid w:val="00AA114E"/>
    <w:rsid w:val="00AA1DFF"/>
    <w:rsid w:val="00AA6C64"/>
    <w:rsid w:val="00AB22C7"/>
    <w:rsid w:val="00AB24B8"/>
    <w:rsid w:val="00AB309F"/>
    <w:rsid w:val="00AB3D9A"/>
    <w:rsid w:val="00AB4E8F"/>
    <w:rsid w:val="00AB66AF"/>
    <w:rsid w:val="00AC49E2"/>
    <w:rsid w:val="00AD23AC"/>
    <w:rsid w:val="00AD2F9B"/>
    <w:rsid w:val="00AD34EE"/>
    <w:rsid w:val="00AE614F"/>
    <w:rsid w:val="00AF3E09"/>
    <w:rsid w:val="00AF494E"/>
    <w:rsid w:val="00AF5542"/>
    <w:rsid w:val="00B012D3"/>
    <w:rsid w:val="00B03634"/>
    <w:rsid w:val="00B038F8"/>
    <w:rsid w:val="00B03F07"/>
    <w:rsid w:val="00B07D4D"/>
    <w:rsid w:val="00B14C9F"/>
    <w:rsid w:val="00B15EC9"/>
    <w:rsid w:val="00B16637"/>
    <w:rsid w:val="00B17182"/>
    <w:rsid w:val="00B245FC"/>
    <w:rsid w:val="00B27E11"/>
    <w:rsid w:val="00B337C2"/>
    <w:rsid w:val="00B33FA9"/>
    <w:rsid w:val="00B375C7"/>
    <w:rsid w:val="00B41EB7"/>
    <w:rsid w:val="00B528CD"/>
    <w:rsid w:val="00B5775A"/>
    <w:rsid w:val="00B64F5A"/>
    <w:rsid w:val="00B70F16"/>
    <w:rsid w:val="00B72FA4"/>
    <w:rsid w:val="00B75255"/>
    <w:rsid w:val="00B75AD0"/>
    <w:rsid w:val="00B77DFE"/>
    <w:rsid w:val="00B81BED"/>
    <w:rsid w:val="00B84E1E"/>
    <w:rsid w:val="00B8523A"/>
    <w:rsid w:val="00B90CD4"/>
    <w:rsid w:val="00B94055"/>
    <w:rsid w:val="00B97703"/>
    <w:rsid w:val="00BA116E"/>
    <w:rsid w:val="00BA1DC4"/>
    <w:rsid w:val="00BA23B8"/>
    <w:rsid w:val="00BA2E36"/>
    <w:rsid w:val="00BA656B"/>
    <w:rsid w:val="00BA76F1"/>
    <w:rsid w:val="00BB2BCA"/>
    <w:rsid w:val="00BB2C31"/>
    <w:rsid w:val="00BB35BE"/>
    <w:rsid w:val="00BB7D3F"/>
    <w:rsid w:val="00BC0CA2"/>
    <w:rsid w:val="00BC3174"/>
    <w:rsid w:val="00BC4D75"/>
    <w:rsid w:val="00BC532C"/>
    <w:rsid w:val="00BC5593"/>
    <w:rsid w:val="00BC6961"/>
    <w:rsid w:val="00BC71F5"/>
    <w:rsid w:val="00BC7BC1"/>
    <w:rsid w:val="00BD38B7"/>
    <w:rsid w:val="00BD4E23"/>
    <w:rsid w:val="00BE09E3"/>
    <w:rsid w:val="00BE0A35"/>
    <w:rsid w:val="00BE1EE6"/>
    <w:rsid w:val="00BE551F"/>
    <w:rsid w:val="00BE798B"/>
    <w:rsid w:val="00BF10A0"/>
    <w:rsid w:val="00BF1A4A"/>
    <w:rsid w:val="00BF6F50"/>
    <w:rsid w:val="00BF769F"/>
    <w:rsid w:val="00C02EA4"/>
    <w:rsid w:val="00C0382C"/>
    <w:rsid w:val="00C060CE"/>
    <w:rsid w:val="00C076F6"/>
    <w:rsid w:val="00C078DC"/>
    <w:rsid w:val="00C07CA4"/>
    <w:rsid w:val="00C1022F"/>
    <w:rsid w:val="00C127C9"/>
    <w:rsid w:val="00C13BEB"/>
    <w:rsid w:val="00C1553D"/>
    <w:rsid w:val="00C15CB9"/>
    <w:rsid w:val="00C17E4F"/>
    <w:rsid w:val="00C32BA8"/>
    <w:rsid w:val="00C349F6"/>
    <w:rsid w:val="00C4099E"/>
    <w:rsid w:val="00C41AF5"/>
    <w:rsid w:val="00C51AC2"/>
    <w:rsid w:val="00C66B4B"/>
    <w:rsid w:val="00C72336"/>
    <w:rsid w:val="00C72EA2"/>
    <w:rsid w:val="00C77992"/>
    <w:rsid w:val="00C77AF6"/>
    <w:rsid w:val="00C81156"/>
    <w:rsid w:val="00C81642"/>
    <w:rsid w:val="00C83478"/>
    <w:rsid w:val="00C87788"/>
    <w:rsid w:val="00C91D30"/>
    <w:rsid w:val="00C930ED"/>
    <w:rsid w:val="00C967BF"/>
    <w:rsid w:val="00C971F4"/>
    <w:rsid w:val="00CA1AE4"/>
    <w:rsid w:val="00CA1B00"/>
    <w:rsid w:val="00CA2CFF"/>
    <w:rsid w:val="00CA6DCA"/>
    <w:rsid w:val="00CA7BAE"/>
    <w:rsid w:val="00CB3848"/>
    <w:rsid w:val="00CB4ECB"/>
    <w:rsid w:val="00CB7BE4"/>
    <w:rsid w:val="00CC324E"/>
    <w:rsid w:val="00CC3461"/>
    <w:rsid w:val="00CC708B"/>
    <w:rsid w:val="00CC77AE"/>
    <w:rsid w:val="00CC7A9D"/>
    <w:rsid w:val="00CD0FD0"/>
    <w:rsid w:val="00CD2C1D"/>
    <w:rsid w:val="00CD2E51"/>
    <w:rsid w:val="00CD314A"/>
    <w:rsid w:val="00CD48AC"/>
    <w:rsid w:val="00CD703B"/>
    <w:rsid w:val="00CD7174"/>
    <w:rsid w:val="00CE363F"/>
    <w:rsid w:val="00CF0C55"/>
    <w:rsid w:val="00CF2389"/>
    <w:rsid w:val="00CF4309"/>
    <w:rsid w:val="00CF6087"/>
    <w:rsid w:val="00D00394"/>
    <w:rsid w:val="00D10CF0"/>
    <w:rsid w:val="00D21A8B"/>
    <w:rsid w:val="00D23EF5"/>
    <w:rsid w:val="00D27552"/>
    <w:rsid w:val="00D27C1E"/>
    <w:rsid w:val="00D3347B"/>
    <w:rsid w:val="00D43B36"/>
    <w:rsid w:val="00D53159"/>
    <w:rsid w:val="00D536BC"/>
    <w:rsid w:val="00D561C7"/>
    <w:rsid w:val="00D63E7A"/>
    <w:rsid w:val="00D63EC8"/>
    <w:rsid w:val="00D64F39"/>
    <w:rsid w:val="00D66440"/>
    <w:rsid w:val="00D667E3"/>
    <w:rsid w:val="00D6776F"/>
    <w:rsid w:val="00D74871"/>
    <w:rsid w:val="00D763EE"/>
    <w:rsid w:val="00D7741F"/>
    <w:rsid w:val="00D8327A"/>
    <w:rsid w:val="00D847FA"/>
    <w:rsid w:val="00D85347"/>
    <w:rsid w:val="00D85C43"/>
    <w:rsid w:val="00D93205"/>
    <w:rsid w:val="00D97D13"/>
    <w:rsid w:val="00DA255A"/>
    <w:rsid w:val="00DA2B97"/>
    <w:rsid w:val="00DA7338"/>
    <w:rsid w:val="00DB72A6"/>
    <w:rsid w:val="00DC2D3C"/>
    <w:rsid w:val="00DD1AE5"/>
    <w:rsid w:val="00DD6D2B"/>
    <w:rsid w:val="00DE27A3"/>
    <w:rsid w:val="00DE6AB5"/>
    <w:rsid w:val="00DF4C48"/>
    <w:rsid w:val="00DF5ABB"/>
    <w:rsid w:val="00DF6CF3"/>
    <w:rsid w:val="00E01F72"/>
    <w:rsid w:val="00E0375B"/>
    <w:rsid w:val="00E05714"/>
    <w:rsid w:val="00E0597C"/>
    <w:rsid w:val="00E07B9A"/>
    <w:rsid w:val="00E147AB"/>
    <w:rsid w:val="00E2068C"/>
    <w:rsid w:val="00E20F95"/>
    <w:rsid w:val="00E22D20"/>
    <w:rsid w:val="00E24C78"/>
    <w:rsid w:val="00E2613A"/>
    <w:rsid w:val="00E27B61"/>
    <w:rsid w:val="00E305CA"/>
    <w:rsid w:val="00E34EF8"/>
    <w:rsid w:val="00E36105"/>
    <w:rsid w:val="00E36388"/>
    <w:rsid w:val="00E43738"/>
    <w:rsid w:val="00E45194"/>
    <w:rsid w:val="00E52E45"/>
    <w:rsid w:val="00E54621"/>
    <w:rsid w:val="00E56913"/>
    <w:rsid w:val="00E569B0"/>
    <w:rsid w:val="00E57432"/>
    <w:rsid w:val="00E630C3"/>
    <w:rsid w:val="00E63881"/>
    <w:rsid w:val="00E64987"/>
    <w:rsid w:val="00E67C5F"/>
    <w:rsid w:val="00E76113"/>
    <w:rsid w:val="00E80349"/>
    <w:rsid w:val="00E80D70"/>
    <w:rsid w:val="00E820E1"/>
    <w:rsid w:val="00E8215B"/>
    <w:rsid w:val="00E831CC"/>
    <w:rsid w:val="00E84120"/>
    <w:rsid w:val="00E856B3"/>
    <w:rsid w:val="00E87DBC"/>
    <w:rsid w:val="00E90206"/>
    <w:rsid w:val="00E918A5"/>
    <w:rsid w:val="00E9359B"/>
    <w:rsid w:val="00E93D04"/>
    <w:rsid w:val="00E969D7"/>
    <w:rsid w:val="00EA07B3"/>
    <w:rsid w:val="00EA424A"/>
    <w:rsid w:val="00EB1DAC"/>
    <w:rsid w:val="00EB4580"/>
    <w:rsid w:val="00EC02D2"/>
    <w:rsid w:val="00EC4C87"/>
    <w:rsid w:val="00EC5189"/>
    <w:rsid w:val="00EC5782"/>
    <w:rsid w:val="00EC641A"/>
    <w:rsid w:val="00ED0AEA"/>
    <w:rsid w:val="00ED129F"/>
    <w:rsid w:val="00ED5B38"/>
    <w:rsid w:val="00ED5D0F"/>
    <w:rsid w:val="00ED6631"/>
    <w:rsid w:val="00ED6AB3"/>
    <w:rsid w:val="00EE0669"/>
    <w:rsid w:val="00EE0AD8"/>
    <w:rsid w:val="00EE1AFC"/>
    <w:rsid w:val="00EE2AEF"/>
    <w:rsid w:val="00EE435B"/>
    <w:rsid w:val="00EE74A9"/>
    <w:rsid w:val="00EF1511"/>
    <w:rsid w:val="00F02819"/>
    <w:rsid w:val="00F0462A"/>
    <w:rsid w:val="00F052CD"/>
    <w:rsid w:val="00F06E69"/>
    <w:rsid w:val="00F07079"/>
    <w:rsid w:val="00F11989"/>
    <w:rsid w:val="00F144DD"/>
    <w:rsid w:val="00F23C38"/>
    <w:rsid w:val="00F23E23"/>
    <w:rsid w:val="00F26AEB"/>
    <w:rsid w:val="00F30044"/>
    <w:rsid w:val="00F41C8C"/>
    <w:rsid w:val="00F456D8"/>
    <w:rsid w:val="00F47A66"/>
    <w:rsid w:val="00F521EB"/>
    <w:rsid w:val="00F52284"/>
    <w:rsid w:val="00F56AF3"/>
    <w:rsid w:val="00F628AD"/>
    <w:rsid w:val="00F6321F"/>
    <w:rsid w:val="00F651C5"/>
    <w:rsid w:val="00F65996"/>
    <w:rsid w:val="00F743AC"/>
    <w:rsid w:val="00F74C3C"/>
    <w:rsid w:val="00F76DEE"/>
    <w:rsid w:val="00F847C2"/>
    <w:rsid w:val="00F86021"/>
    <w:rsid w:val="00F9352F"/>
    <w:rsid w:val="00F946DF"/>
    <w:rsid w:val="00F94EB0"/>
    <w:rsid w:val="00F9565A"/>
    <w:rsid w:val="00FA2FCD"/>
    <w:rsid w:val="00FA67B4"/>
    <w:rsid w:val="00FB19F5"/>
    <w:rsid w:val="00FB258E"/>
    <w:rsid w:val="00FB2D92"/>
    <w:rsid w:val="00FB379C"/>
    <w:rsid w:val="00FB6FB1"/>
    <w:rsid w:val="00FC16D6"/>
    <w:rsid w:val="00FC22D2"/>
    <w:rsid w:val="00FD43EB"/>
    <w:rsid w:val="00FF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A1F4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054D"/>
    <w:pPr>
      <w:overflowPunct w:val="0"/>
      <w:autoSpaceDE w:val="0"/>
      <w:autoSpaceDN w:val="0"/>
      <w:adjustRightInd w:val="0"/>
      <w:spacing w:after="180"/>
      <w:textAlignment w:val="baseline"/>
    </w:pPr>
  </w:style>
  <w:style w:type="paragraph" w:styleId="Heading1">
    <w:name w:val="heading 1"/>
    <w:aliases w:val="H1,h1"/>
    <w:next w:val="Normal"/>
    <w:qFormat/>
    <w:rsid w:val="00DA25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DA255A"/>
    <w:pPr>
      <w:pBdr>
        <w:top w:val="none" w:sz="0" w:space="0" w:color="auto"/>
      </w:pBdr>
      <w:spacing w:before="180"/>
      <w:outlineLvl w:val="1"/>
    </w:pPr>
    <w:rPr>
      <w:sz w:val="32"/>
    </w:rPr>
  </w:style>
  <w:style w:type="paragraph" w:styleId="Heading3">
    <w:name w:val="heading 3"/>
    <w:aliases w:val="H3,h3"/>
    <w:basedOn w:val="Heading2"/>
    <w:next w:val="Normal"/>
    <w:qFormat/>
    <w:rsid w:val="00DA255A"/>
    <w:pPr>
      <w:spacing w:before="120"/>
      <w:outlineLvl w:val="2"/>
    </w:pPr>
    <w:rPr>
      <w:sz w:val="28"/>
    </w:rPr>
  </w:style>
  <w:style w:type="paragraph" w:styleId="Heading4">
    <w:name w:val="heading 4"/>
    <w:aliases w:val="h4"/>
    <w:basedOn w:val="Heading3"/>
    <w:next w:val="Normal"/>
    <w:qFormat/>
    <w:rsid w:val="00DA255A"/>
    <w:pPr>
      <w:ind w:left="1418" w:hanging="1418"/>
      <w:outlineLvl w:val="3"/>
    </w:pPr>
    <w:rPr>
      <w:sz w:val="24"/>
    </w:rPr>
  </w:style>
  <w:style w:type="paragraph" w:styleId="Heading5">
    <w:name w:val="heading 5"/>
    <w:aliases w:val="h5"/>
    <w:basedOn w:val="Heading4"/>
    <w:next w:val="Normal"/>
    <w:qFormat/>
    <w:rsid w:val="00DA255A"/>
    <w:pPr>
      <w:ind w:left="1701" w:hanging="1701"/>
      <w:outlineLvl w:val="4"/>
    </w:pPr>
    <w:rPr>
      <w:sz w:val="22"/>
    </w:rPr>
  </w:style>
  <w:style w:type="paragraph" w:styleId="Heading6">
    <w:name w:val="heading 6"/>
    <w:aliases w:val="h6"/>
    <w:basedOn w:val="H6"/>
    <w:next w:val="Normal"/>
    <w:qFormat/>
    <w:rsid w:val="00DA255A"/>
    <w:pPr>
      <w:outlineLvl w:val="5"/>
    </w:pPr>
  </w:style>
  <w:style w:type="paragraph" w:styleId="Heading7">
    <w:name w:val="heading 7"/>
    <w:basedOn w:val="H6"/>
    <w:next w:val="Normal"/>
    <w:qFormat/>
    <w:rsid w:val="00DA255A"/>
    <w:pPr>
      <w:outlineLvl w:val="6"/>
    </w:pPr>
  </w:style>
  <w:style w:type="paragraph" w:styleId="Heading8">
    <w:name w:val="heading 8"/>
    <w:basedOn w:val="Heading1"/>
    <w:next w:val="Normal"/>
    <w:qFormat/>
    <w:rsid w:val="00DA255A"/>
    <w:pPr>
      <w:ind w:left="0" w:firstLine="0"/>
      <w:outlineLvl w:val="7"/>
    </w:pPr>
  </w:style>
  <w:style w:type="paragraph" w:styleId="Heading9">
    <w:name w:val="heading 9"/>
    <w:basedOn w:val="Heading8"/>
    <w:next w:val="Normal"/>
    <w:qFormat/>
    <w:rsid w:val="00DA25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DA255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A255A"/>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A255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DA255A"/>
    <w:pPr>
      <w:spacing w:before="180"/>
      <w:ind w:left="2693" w:hanging="2693"/>
    </w:pPr>
    <w:rPr>
      <w:b/>
    </w:rPr>
  </w:style>
  <w:style w:type="paragraph" w:styleId="TOC1">
    <w:name w:val="toc 1"/>
    <w:semiHidden/>
    <w:rsid w:val="00DA25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A25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A255A"/>
    <w:pPr>
      <w:ind w:left="1701" w:hanging="1701"/>
    </w:pPr>
  </w:style>
  <w:style w:type="paragraph" w:styleId="TOC4">
    <w:name w:val="toc 4"/>
    <w:basedOn w:val="TOC3"/>
    <w:semiHidden/>
    <w:rsid w:val="00DA255A"/>
    <w:pPr>
      <w:ind w:left="1418" w:hanging="1418"/>
    </w:pPr>
  </w:style>
  <w:style w:type="paragraph" w:styleId="TOC3">
    <w:name w:val="toc 3"/>
    <w:basedOn w:val="TOC2"/>
    <w:semiHidden/>
    <w:rsid w:val="00DA255A"/>
    <w:pPr>
      <w:ind w:left="1134" w:hanging="1134"/>
    </w:pPr>
  </w:style>
  <w:style w:type="paragraph" w:styleId="TOC2">
    <w:name w:val="toc 2"/>
    <w:basedOn w:val="TOC1"/>
    <w:semiHidden/>
    <w:rsid w:val="00DA255A"/>
    <w:pPr>
      <w:keepNext w:val="0"/>
      <w:spacing w:before="0"/>
      <w:ind w:left="851" w:hanging="851"/>
    </w:pPr>
    <w:rPr>
      <w:sz w:val="20"/>
    </w:rPr>
  </w:style>
  <w:style w:type="paragraph" w:styleId="Index2">
    <w:name w:val="index 2"/>
    <w:basedOn w:val="Index1"/>
    <w:semiHidden/>
    <w:rsid w:val="00DA255A"/>
    <w:pPr>
      <w:ind w:left="284"/>
    </w:pPr>
  </w:style>
  <w:style w:type="paragraph" w:styleId="Index1">
    <w:name w:val="index 1"/>
    <w:basedOn w:val="Normal"/>
    <w:semiHidden/>
    <w:rsid w:val="00DA255A"/>
    <w:pPr>
      <w:keepLines/>
      <w:spacing w:after="0"/>
    </w:pPr>
  </w:style>
  <w:style w:type="paragraph" w:customStyle="1" w:styleId="ZH">
    <w:name w:val="ZH"/>
    <w:rsid w:val="00DA25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A255A"/>
    <w:pPr>
      <w:outlineLvl w:val="9"/>
    </w:pPr>
  </w:style>
  <w:style w:type="paragraph" w:styleId="ListNumber2">
    <w:name w:val="List Number 2"/>
    <w:basedOn w:val="ListNumber"/>
    <w:semiHidden/>
    <w:rsid w:val="00DA255A"/>
    <w:pPr>
      <w:ind w:left="851"/>
    </w:pPr>
  </w:style>
  <w:style w:type="character" w:styleId="FootnoteReference">
    <w:name w:val="footnote reference"/>
    <w:basedOn w:val="DefaultParagraphFont"/>
    <w:semiHidden/>
    <w:rsid w:val="00DA255A"/>
    <w:rPr>
      <w:b/>
      <w:position w:val="6"/>
      <w:sz w:val="16"/>
    </w:rPr>
  </w:style>
  <w:style w:type="paragraph" w:styleId="FootnoteText">
    <w:name w:val="footnote text"/>
    <w:basedOn w:val="Normal"/>
    <w:link w:val="FootnoteTextChar"/>
    <w:semiHidden/>
    <w:rsid w:val="00DA255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DA255A"/>
    <w:rPr>
      <w:b/>
    </w:rPr>
  </w:style>
  <w:style w:type="paragraph" w:customStyle="1" w:styleId="TAC">
    <w:name w:val="TAC"/>
    <w:basedOn w:val="TAL"/>
    <w:rsid w:val="00DA255A"/>
    <w:pPr>
      <w:jc w:val="center"/>
    </w:pPr>
  </w:style>
  <w:style w:type="paragraph" w:customStyle="1" w:styleId="TF">
    <w:name w:val="TF"/>
    <w:basedOn w:val="TH"/>
    <w:rsid w:val="00DA255A"/>
    <w:pPr>
      <w:keepNext w:val="0"/>
      <w:spacing w:before="0" w:after="240"/>
    </w:pPr>
  </w:style>
  <w:style w:type="paragraph" w:customStyle="1" w:styleId="NO">
    <w:name w:val="NO"/>
    <w:basedOn w:val="Normal"/>
    <w:rsid w:val="00DA255A"/>
    <w:pPr>
      <w:keepLines/>
      <w:ind w:left="1135" w:hanging="851"/>
    </w:pPr>
  </w:style>
  <w:style w:type="paragraph" w:styleId="TOC9">
    <w:name w:val="toc 9"/>
    <w:basedOn w:val="TOC8"/>
    <w:semiHidden/>
    <w:rsid w:val="00DA255A"/>
    <w:pPr>
      <w:ind w:left="1418" w:hanging="1418"/>
    </w:pPr>
  </w:style>
  <w:style w:type="paragraph" w:customStyle="1" w:styleId="EX">
    <w:name w:val="EX"/>
    <w:basedOn w:val="Normal"/>
    <w:rsid w:val="00DA255A"/>
    <w:pPr>
      <w:keepLines/>
      <w:ind w:left="1702" w:hanging="1418"/>
    </w:pPr>
  </w:style>
  <w:style w:type="paragraph" w:customStyle="1" w:styleId="FP">
    <w:name w:val="FP"/>
    <w:basedOn w:val="Normal"/>
    <w:rsid w:val="00DA255A"/>
    <w:pPr>
      <w:spacing w:after="0"/>
    </w:pPr>
  </w:style>
  <w:style w:type="paragraph" w:customStyle="1" w:styleId="LD">
    <w:name w:val="LD"/>
    <w:rsid w:val="00DA25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A255A"/>
    <w:pPr>
      <w:spacing w:after="0"/>
    </w:pPr>
  </w:style>
  <w:style w:type="paragraph" w:customStyle="1" w:styleId="EW">
    <w:name w:val="EW"/>
    <w:basedOn w:val="EX"/>
    <w:rsid w:val="00DA255A"/>
    <w:pPr>
      <w:spacing w:after="0"/>
    </w:pPr>
  </w:style>
  <w:style w:type="paragraph" w:styleId="TOC6">
    <w:name w:val="toc 6"/>
    <w:basedOn w:val="TOC5"/>
    <w:next w:val="Normal"/>
    <w:semiHidden/>
    <w:rsid w:val="00DA255A"/>
    <w:pPr>
      <w:ind w:left="1985" w:hanging="1985"/>
    </w:pPr>
  </w:style>
  <w:style w:type="paragraph" w:styleId="TOC7">
    <w:name w:val="toc 7"/>
    <w:basedOn w:val="TOC6"/>
    <w:next w:val="Normal"/>
    <w:semiHidden/>
    <w:rsid w:val="00DA255A"/>
    <w:pPr>
      <w:ind w:left="2268" w:hanging="2268"/>
    </w:pPr>
  </w:style>
  <w:style w:type="paragraph" w:styleId="ListBullet2">
    <w:name w:val="List Bullet 2"/>
    <w:basedOn w:val="ListBullet"/>
    <w:semiHidden/>
    <w:rsid w:val="00DA255A"/>
    <w:pPr>
      <w:ind w:left="851"/>
    </w:pPr>
  </w:style>
  <w:style w:type="paragraph" w:styleId="ListBullet3">
    <w:name w:val="List Bullet 3"/>
    <w:basedOn w:val="ListBullet2"/>
    <w:semiHidden/>
    <w:rsid w:val="00DA255A"/>
    <w:pPr>
      <w:ind w:left="1135"/>
    </w:pPr>
  </w:style>
  <w:style w:type="paragraph" w:styleId="ListNumber">
    <w:name w:val="List Number"/>
    <w:basedOn w:val="List"/>
    <w:semiHidden/>
    <w:rsid w:val="00DA255A"/>
  </w:style>
  <w:style w:type="paragraph" w:customStyle="1" w:styleId="EQ">
    <w:name w:val="EQ"/>
    <w:basedOn w:val="Normal"/>
    <w:next w:val="Normal"/>
    <w:rsid w:val="00DA255A"/>
    <w:pPr>
      <w:keepLines/>
      <w:tabs>
        <w:tab w:val="center" w:pos="4536"/>
        <w:tab w:val="right" w:pos="9072"/>
      </w:tabs>
    </w:pPr>
    <w:rPr>
      <w:noProof/>
    </w:rPr>
  </w:style>
  <w:style w:type="paragraph" w:customStyle="1" w:styleId="TH">
    <w:name w:val="TH"/>
    <w:basedOn w:val="Normal"/>
    <w:rsid w:val="00DA255A"/>
    <w:pPr>
      <w:keepNext/>
      <w:keepLines/>
      <w:spacing w:before="60"/>
      <w:jc w:val="center"/>
    </w:pPr>
    <w:rPr>
      <w:rFonts w:ascii="Arial" w:hAnsi="Arial"/>
      <w:b/>
    </w:rPr>
  </w:style>
  <w:style w:type="paragraph" w:customStyle="1" w:styleId="NF">
    <w:name w:val="NF"/>
    <w:basedOn w:val="NO"/>
    <w:rsid w:val="00DA255A"/>
    <w:pPr>
      <w:keepNext/>
      <w:spacing w:after="0"/>
    </w:pPr>
    <w:rPr>
      <w:rFonts w:ascii="Arial" w:hAnsi="Arial"/>
      <w:sz w:val="18"/>
    </w:rPr>
  </w:style>
  <w:style w:type="paragraph" w:customStyle="1" w:styleId="PL">
    <w:name w:val="PL"/>
    <w:link w:val="PLChar"/>
    <w:qFormat/>
    <w:rsid w:val="00DA2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A255A"/>
    <w:pPr>
      <w:jc w:val="right"/>
    </w:pPr>
  </w:style>
  <w:style w:type="paragraph" w:customStyle="1" w:styleId="H6">
    <w:name w:val="H6"/>
    <w:basedOn w:val="Heading5"/>
    <w:next w:val="Normal"/>
    <w:rsid w:val="00DA255A"/>
    <w:pPr>
      <w:ind w:left="1985" w:hanging="1985"/>
      <w:outlineLvl w:val="9"/>
    </w:pPr>
    <w:rPr>
      <w:sz w:val="20"/>
    </w:rPr>
  </w:style>
  <w:style w:type="paragraph" w:customStyle="1" w:styleId="TAN">
    <w:name w:val="TAN"/>
    <w:basedOn w:val="TAL"/>
    <w:rsid w:val="00DA255A"/>
    <w:pPr>
      <w:ind w:left="851" w:hanging="851"/>
    </w:pPr>
  </w:style>
  <w:style w:type="paragraph" w:customStyle="1" w:styleId="TAL">
    <w:name w:val="TAL"/>
    <w:basedOn w:val="Normal"/>
    <w:link w:val="TALCar"/>
    <w:qFormat/>
    <w:rsid w:val="00DA255A"/>
    <w:pPr>
      <w:keepNext/>
      <w:keepLines/>
      <w:spacing w:after="0"/>
    </w:pPr>
    <w:rPr>
      <w:rFonts w:ascii="Arial" w:hAnsi="Arial"/>
      <w:sz w:val="18"/>
    </w:rPr>
  </w:style>
  <w:style w:type="paragraph" w:customStyle="1" w:styleId="ZA">
    <w:name w:val="ZA"/>
    <w:rsid w:val="00DA25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25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25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A25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255A"/>
    <w:pPr>
      <w:framePr w:wrap="notBeside" w:y="16161"/>
    </w:pPr>
  </w:style>
  <w:style w:type="character" w:customStyle="1" w:styleId="ZGSM">
    <w:name w:val="ZGSM"/>
    <w:rsid w:val="00DA255A"/>
  </w:style>
  <w:style w:type="paragraph" w:styleId="List2">
    <w:name w:val="List 2"/>
    <w:basedOn w:val="List"/>
    <w:semiHidden/>
    <w:rsid w:val="00DA255A"/>
    <w:pPr>
      <w:ind w:left="851"/>
    </w:pPr>
  </w:style>
  <w:style w:type="paragraph" w:customStyle="1" w:styleId="ZG">
    <w:name w:val="ZG"/>
    <w:rsid w:val="00DA25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A255A"/>
    <w:pPr>
      <w:ind w:left="1135"/>
    </w:pPr>
  </w:style>
  <w:style w:type="paragraph" w:styleId="List4">
    <w:name w:val="List 4"/>
    <w:basedOn w:val="List3"/>
    <w:semiHidden/>
    <w:rsid w:val="00DA255A"/>
    <w:pPr>
      <w:ind w:left="1418"/>
    </w:pPr>
  </w:style>
  <w:style w:type="paragraph" w:styleId="List5">
    <w:name w:val="List 5"/>
    <w:basedOn w:val="List4"/>
    <w:semiHidden/>
    <w:rsid w:val="00DA255A"/>
    <w:pPr>
      <w:ind w:left="1702"/>
    </w:pPr>
  </w:style>
  <w:style w:type="paragraph" w:customStyle="1" w:styleId="EditorsNote">
    <w:name w:val="Editor's Note"/>
    <w:basedOn w:val="NO"/>
    <w:rsid w:val="00DA255A"/>
    <w:rPr>
      <w:color w:val="FF0000"/>
    </w:rPr>
  </w:style>
  <w:style w:type="paragraph" w:styleId="List">
    <w:name w:val="List"/>
    <w:basedOn w:val="Normal"/>
    <w:semiHidden/>
    <w:rsid w:val="00DA255A"/>
    <w:pPr>
      <w:ind w:left="568" w:hanging="284"/>
    </w:pPr>
  </w:style>
  <w:style w:type="paragraph" w:styleId="ListBullet">
    <w:name w:val="List Bullet"/>
    <w:basedOn w:val="List"/>
    <w:semiHidden/>
    <w:rsid w:val="00DA255A"/>
  </w:style>
  <w:style w:type="paragraph" w:styleId="ListBullet4">
    <w:name w:val="List Bullet 4"/>
    <w:basedOn w:val="ListBullet3"/>
    <w:semiHidden/>
    <w:rsid w:val="00DA255A"/>
    <w:pPr>
      <w:ind w:left="1418"/>
    </w:pPr>
  </w:style>
  <w:style w:type="paragraph" w:styleId="ListBullet5">
    <w:name w:val="List Bullet 5"/>
    <w:basedOn w:val="ListBullet4"/>
    <w:semiHidden/>
    <w:rsid w:val="00DA255A"/>
    <w:pPr>
      <w:ind w:left="1702"/>
    </w:pPr>
  </w:style>
  <w:style w:type="paragraph" w:customStyle="1" w:styleId="B2">
    <w:name w:val="B2"/>
    <w:basedOn w:val="List2"/>
    <w:rsid w:val="00DA255A"/>
  </w:style>
  <w:style w:type="paragraph" w:customStyle="1" w:styleId="B3">
    <w:name w:val="B3"/>
    <w:basedOn w:val="List3"/>
    <w:rsid w:val="00DA255A"/>
  </w:style>
  <w:style w:type="paragraph" w:customStyle="1" w:styleId="B4">
    <w:name w:val="B4"/>
    <w:basedOn w:val="List4"/>
    <w:rsid w:val="00DA255A"/>
  </w:style>
  <w:style w:type="paragraph" w:customStyle="1" w:styleId="B5">
    <w:name w:val="B5"/>
    <w:basedOn w:val="List5"/>
    <w:rsid w:val="00DA255A"/>
  </w:style>
  <w:style w:type="paragraph" w:customStyle="1" w:styleId="ZTD">
    <w:name w:val="ZTD"/>
    <w:basedOn w:val="ZB"/>
    <w:rsid w:val="00DA255A"/>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styleId="ListParagraph">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4A52E1"/>
    <w:pPr>
      <w:ind w:left="720"/>
      <w:contextualSpacing/>
    </w:pPr>
  </w:style>
  <w:style w:type="paragraph" w:styleId="CommentSubject">
    <w:name w:val="annotation subject"/>
    <w:basedOn w:val="CommentText"/>
    <w:next w:val="CommentText"/>
    <w:link w:val="CommentSubjectChar"/>
    <w:uiPriority w:val="99"/>
    <w:semiHidden/>
    <w:unhideWhenUsed/>
    <w:rsid w:val="005F0F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5F0F2F"/>
    <w:rPr>
      <w:rFonts w:ascii="Arial" w:hAnsi="Arial"/>
    </w:rPr>
  </w:style>
  <w:style w:type="character" w:customStyle="1" w:styleId="CommentSubjectChar">
    <w:name w:val="Comment Subject Char"/>
    <w:basedOn w:val="CommentTextChar"/>
    <w:link w:val="CommentSubject"/>
    <w:uiPriority w:val="99"/>
    <w:semiHidden/>
    <w:rsid w:val="005F0F2F"/>
    <w:rPr>
      <w:rFonts w:ascii="Arial" w:hAnsi="Arial"/>
      <w:b/>
      <w:bCs/>
    </w:rPr>
  </w:style>
  <w:style w:type="paragraph" w:styleId="Revision">
    <w:name w:val="Revision"/>
    <w:hidden/>
    <w:uiPriority w:val="99"/>
    <w:semiHidden/>
    <w:rsid w:val="00A170F6"/>
  </w:style>
  <w:style w:type="paragraph" w:styleId="Caption">
    <w:name w:val="caption"/>
    <w:basedOn w:val="Normal"/>
    <w:next w:val="Normal"/>
    <w:uiPriority w:val="35"/>
    <w:unhideWhenUsed/>
    <w:qFormat/>
    <w:rsid w:val="00C1022F"/>
    <w:pPr>
      <w:spacing w:after="200"/>
    </w:pPr>
    <w:rPr>
      <w:i/>
      <w:iCs/>
      <w:color w:val="44546A" w:themeColor="text2"/>
      <w:sz w:val="18"/>
      <w:szCs w:val="18"/>
    </w:rPr>
  </w:style>
  <w:style w:type="table" w:styleId="TableGrid">
    <w:name w:val="Table Grid"/>
    <w:aliases w:val="TableGrid,网格型"/>
    <w:basedOn w:val="TableNormal"/>
    <w:uiPriority w:val="39"/>
    <w:qFormat/>
    <w:rsid w:val="00EF1511"/>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1st level - Bullet List Paragraph Char"/>
    <w:link w:val="ListParagraph"/>
    <w:uiPriority w:val="34"/>
    <w:qFormat/>
    <w:rsid w:val="00EF1511"/>
  </w:style>
  <w:style w:type="paragraph" w:customStyle="1" w:styleId="Doc-text2">
    <w:name w:val="Doc-text2"/>
    <w:basedOn w:val="Normal"/>
    <w:link w:val="Doc-text2Char"/>
    <w:qFormat/>
    <w:rsid w:val="00F9352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F9352F"/>
    <w:rPr>
      <w:rFonts w:ascii="Arial" w:eastAsia="MS Mincho" w:hAnsi="Arial"/>
      <w:szCs w:val="24"/>
    </w:rPr>
  </w:style>
  <w:style w:type="paragraph" w:customStyle="1" w:styleId="Comments">
    <w:name w:val="Comments"/>
    <w:basedOn w:val="Normal"/>
    <w:link w:val="CommentsChar"/>
    <w:qFormat/>
    <w:rsid w:val="00766089"/>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766089"/>
    <w:rPr>
      <w:rFonts w:ascii="Arial" w:eastAsia="MS Mincho" w:hAnsi="Arial"/>
      <w:i/>
      <w:noProof/>
      <w:sz w:val="18"/>
      <w:szCs w:val="24"/>
    </w:rPr>
  </w:style>
  <w:style w:type="paragraph" w:customStyle="1" w:styleId="EmailDiscussion">
    <w:name w:val="EmailDiscussion"/>
    <w:basedOn w:val="Normal"/>
    <w:next w:val="EmailDiscussion2"/>
    <w:link w:val="EmailDiscussionChar"/>
    <w:qFormat/>
    <w:rsid w:val="00766089"/>
    <w:pPr>
      <w:numPr>
        <w:numId w:val="5"/>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766089"/>
    <w:rPr>
      <w:rFonts w:ascii="Arial" w:eastAsia="MS Mincho" w:hAnsi="Arial"/>
      <w:b/>
      <w:szCs w:val="24"/>
    </w:rPr>
  </w:style>
  <w:style w:type="paragraph" w:customStyle="1" w:styleId="EmailDiscussion2">
    <w:name w:val="EmailDiscussion2"/>
    <w:basedOn w:val="Doc-text2"/>
    <w:qFormat/>
    <w:rsid w:val="00766089"/>
  </w:style>
  <w:style w:type="paragraph" w:customStyle="1" w:styleId="para099">
    <w:name w:val="para099"/>
    <w:basedOn w:val="Normal"/>
    <w:link w:val="para099Char1"/>
    <w:qFormat/>
    <w:rsid w:val="004A30B4"/>
    <w:pPr>
      <w:numPr>
        <w:numId w:val="6"/>
      </w:numPr>
    </w:pPr>
  </w:style>
  <w:style w:type="paragraph" w:customStyle="1" w:styleId="para100">
    <w:name w:val="para100"/>
    <w:basedOn w:val="Normal"/>
    <w:rsid w:val="004A30B4"/>
    <w:pPr>
      <w:numPr>
        <w:ilvl w:val="1"/>
        <w:numId w:val="6"/>
      </w:numPr>
    </w:pPr>
  </w:style>
  <w:style w:type="paragraph" w:customStyle="1" w:styleId="Doc-title">
    <w:name w:val="Doc-title"/>
    <w:basedOn w:val="Normal"/>
    <w:next w:val="Doc-text2"/>
    <w:link w:val="Doc-titleChar"/>
    <w:qFormat/>
    <w:rsid w:val="00D8327A"/>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qFormat/>
    <w:rsid w:val="00D8327A"/>
    <w:rPr>
      <w:rFonts w:ascii="Arial" w:eastAsia="MS Mincho" w:hAnsi="Arial"/>
      <w:noProof/>
      <w:szCs w:val="24"/>
    </w:rPr>
  </w:style>
  <w:style w:type="paragraph" w:styleId="NormalWeb">
    <w:name w:val="Normal (Web)"/>
    <w:basedOn w:val="Normal"/>
    <w:uiPriority w:val="99"/>
    <w:unhideWhenUsed/>
    <w:rsid w:val="0014166B"/>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14166B"/>
    <w:rPr>
      <w:b/>
      <w:bCs/>
    </w:rPr>
  </w:style>
  <w:style w:type="paragraph" w:customStyle="1" w:styleId="Agreement">
    <w:name w:val="Agreement"/>
    <w:basedOn w:val="Normal"/>
    <w:next w:val="Doc-text2"/>
    <w:uiPriority w:val="99"/>
    <w:qFormat/>
    <w:rsid w:val="006D131E"/>
    <w:pPr>
      <w:numPr>
        <w:numId w:val="11"/>
      </w:numPr>
      <w:overflowPunct/>
      <w:autoSpaceDE/>
      <w:autoSpaceDN/>
      <w:adjustRightInd/>
      <w:spacing w:before="60" w:after="0"/>
      <w:textAlignment w:val="auto"/>
    </w:pPr>
    <w:rPr>
      <w:rFonts w:ascii="Arial" w:eastAsia="MS Mincho" w:hAnsi="Arial"/>
      <w:b/>
      <w:szCs w:val="24"/>
    </w:rPr>
  </w:style>
  <w:style w:type="character" w:customStyle="1" w:styleId="para099Char1">
    <w:name w:val="para099 Char1"/>
    <w:basedOn w:val="DefaultParagraphFont"/>
    <w:link w:val="para099"/>
    <w:locked/>
    <w:rsid w:val="00AB3D9A"/>
  </w:style>
  <w:style w:type="character" w:styleId="Emphasis">
    <w:name w:val="Emphasis"/>
    <w:basedOn w:val="DefaultParagraphFont"/>
    <w:uiPriority w:val="20"/>
    <w:qFormat/>
    <w:rsid w:val="00CD0FD0"/>
    <w:rPr>
      <w:i/>
      <w:iCs/>
    </w:rPr>
  </w:style>
  <w:style w:type="character" w:customStyle="1" w:styleId="TALCar">
    <w:name w:val="TAL Car"/>
    <w:basedOn w:val="DefaultParagraphFont"/>
    <w:link w:val="TAL"/>
    <w:qFormat/>
    <w:locked/>
    <w:rsid w:val="007D2FB9"/>
    <w:rPr>
      <w:rFonts w:ascii="Arial" w:hAnsi="Arial"/>
      <w:sz w:val="18"/>
    </w:rPr>
  </w:style>
  <w:style w:type="character" w:customStyle="1" w:styleId="PLChar">
    <w:name w:val="PL Char"/>
    <w:link w:val="PL"/>
    <w:qFormat/>
    <w:rsid w:val="00232C49"/>
    <w:rPr>
      <w:rFonts w:ascii="Courier New" w:hAnsi="Courier New"/>
      <w:noProof/>
      <w:sz w:val="16"/>
    </w:rPr>
  </w:style>
  <w:style w:type="character" w:styleId="HTMLCode">
    <w:name w:val="HTML Code"/>
    <w:basedOn w:val="DefaultParagraphFont"/>
    <w:uiPriority w:val="99"/>
    <w:semiHidden/>
    <w:unhideWhenUsed/>
    <w:rsid w:val="00300D29"/>
    <w:rPr>
      <w:rFonts w:ascii="Courier New" w:eastAsia="Times New Roman" w:hAnsi="Courier New" w:cs="Courier New"/>
      <w:sz w:val="20"/>
      <w:szCs w:val="20"/>
    </w:rPr>
  </w:style>
  <w:style w:type="paragraph" w:customStyle="1" w:styleId="Proposal">
    <w:name w:val="Proposal"/>
    <w:basedOn w:val="BodyText"/>
    <w:qFormat/>
    <w:rsid w:val="009379CE"/>
    <w:pPr>
      <w:numPr>
        <w:numId w:val="38"/>
      </w:numPr>
      <w:tabs>
        <w:tab w:val="left" w:pos="1701"/>
      </w:tabs>
      <w:spacing w:after="120"/>
      <w:jc w:val="both"/>
    </w:pPr>
    <w:rPr>
      <w:rFonts w:cs="Times New Roman"/>
      <w:b/>
      <w:bCs/>
      <w:color w:val="auto"/>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18245">
      <w:bodyDiv w:val="1"/>
      <w:marLeft w:val="0"/>
      <w:marRight w:val="0"/>
      <w:marTop w:val="0"/>
      <w:marBottom w:val="0"/>
      <w:divBdr>
        <w:top w:val="none" w:sz="0" w:space="0" w:color="auto"/>
        <w:left w:val="none" w:sz="0" w:space="0" w:color="auto"/>
        <w:bottom w:val="none" w:sz="0" w:space="0" w:color="auto"/>
        <w:right w:val="none" w:sz="0" w:space="0" w:color="auto"/>
      </w:divBdr>
      <w:divsChild>
        <w:div w:id="806437211">
          <w:blockQuote w:val="1"/>
          <w:marLeft w:val="720"/>
          <w:marRight w:val="720"/>
          <w:marTop w:val="100"/>
          <w:marBottom w:val="100"/>
          <w:divBdr>
            <w:top w:val="none" w:sz="0" w:space="0" w:color="auto"/>
            <w:left w:val="none" w:sz="0" w:space="0" w:color="auto"/>
            <w:bottom w:val="none" w:sz="0" w:space="0" w:color="auto"/>
            <w:right w:val="none" w:sz="0" w:space="0" w:color="auto"/>
          </w:divBdr>
        </w:div>
        <w:div w:id="1394351853">
          <w:blockQuote w:val="1"/>
          <w:marLeft w:val="720"/>
          <w:marRight w:val="720"/>
          <w:marTop w:val="100"/>
          <w:marBottom w:val="100"/>
          <w:divBdr>
            <w:top w:val="none" w:sz="0" w:space="0" w:color="auto"/>
            <w:left w:val="none" w:sz="0" w:space="0" w:color="auto"/>
            <w:bottom w:val="none" w:sz="0" w:space="0" w:color="auto"/>
            <w:right w:val="none" w:sz="0" w:space="0" w:color="auto"/>
          </w:divBdr>
        </w:div>
        <w:div w:id="1861402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1049981">
      <w:bodyDiv w:val="1"/>
      <w:marLeft w:val="0"/>
      <w:marRight w:val="0"/>
      <w:marTop w:val="0"/>
      <w:marBottom w:val="0"/>
      <w:divBdr>
        <w:top w:val="none" w:sz="0" w:space="0" w:color="auto"/>
        <w:left w:val="none" w:sz="0" w:space="0" w:color="auto"/>
        <w:bottom w:val="none" w:sz="0" w:space="0" w:color="auto"/>
        <w:right w:val="none" w:sz="0" w:space="0" w:color="auto"/>
      </w:divBdr>
      <w:divsChild>
        <w:div w:id="46533455">
          <w:blockQuote w:val="1"/>
          <w:marLeft w:val="720"/>
          <w:marRight w:val="720"/>
          <w:marTop w:val="100"/>
          <w:marBottom w:val="100"/>
          <w:divBdr>
            <w:top w:val="none" w:sz="0" w:space="0" w:color="auto"/>
            <w:left w:val="none" w:sz="0" w:space="0" w:color="auto"/>
            <w:bottom w:val="none" w:sz="0" w:space="0" w:color="auto"/>
            <w:right w:val="none" w:sz="0" w:space="0" w:color="auto"/>
          </w:divBdr>
        </w:div>
        <w:div w:id="1884125818">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410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4513301">
      <w:bodyDiv w:val="1"/>
      <w:marLeft w:val="0"/>
      <w:marRight w:val="0"/>
      <w:marTop w:val="0"/>
      <w:marBottom w:val="0"/>
      <w:divBdr>
        <w:top w:val="none" w:sz="0" w:space="0" w:color="auto"/>
        <w:left w:val="none" w:sz="0" w:space="0" w:color="auto"/>
        <w:bottom w:val="none" w:sz="0" w:space="0" w:color="auto"/>
        <w:right w:val="none" w:sz="0" w:space="0" w:color="auto"/>
      </w:divBdr>
      <w:divsChild>
        <w:div w:id="1781268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8230256">
          <w:blockQuote w:val="1"/>
          <w:marLeft w:val="720"/>
          <w:marRight w:val="720"/>
          <w:marTop w:val="100"/>
          <w:marBottom w:val="100"/>
          <w:divBdr>
            <w:top w:val="none" w:sz="0" w:space="0" w:color="auto"/>
            <w:left w:val="none" w:sz="0" w:space="0" w:color="auto"/>
            <w:bottom w:val="none" w:sz="0" w:space="0" w:color="auto"/>
            <w:right w:val="none" w:sz="0" w:space="0" w:color="auto"/>
          </w:divBdr>
        </w:div>
        <w:div w:id="14688597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6960909">
      <w:bodyDiv w:val="1"/>
      <w:marLeft w:val="0"/>
      <w:marRight w:val="0"/>
      <w:marTop w:val="0"/>
      <w:marBottom w:val="0"/>
      <w:divBdr>
        <w:top w:val="none" w:sz="0" w:space="0" w:color="auto"/>
        <w:left w:val="none" w:sz="0" w:space="0" w:color="auto"/>
        <w:bottom w:val="none" w:sz="0" w:space="0" w:color="auto"/>
        <w:right w:val="none" w:sz="0" w:space="0" w:color="auto"/>
      </w:divBdr>
    </w:div>
    <w:div w:id="1292662949">
      <w:bodyDiv w:val="1"/>
      <w:marLeft w:val="0"/>
      <w:marRight w:val="0"/>
      <w:marTop w:val="0"/>
      <w:marBottom w:val="0"/>
      <w:divBdr>
        <w:top w:val="none" w:sz="0" w:space="0" w:color="auto"/>
        <w:left w:val="none" w:sz="0" w:space="0" w:color="auto"/>
        <w:bottom w:val="none" w:sz="0" w:space="0" w:color="auto"/>
        <w:right w:val="none" w:sz="0" w:space="0" w:color="auto"/>
      </w:divBdr>
    </w:div>
    <w:div w:id="1460875245">
      <w:bodyDiv w:val="1"/>
      <w:marLeft w:val="0"/>
      <w:marRight w:val="0"/>
      <w:marTop w:val="0"/>
      <w:marBottom w:val="0"/>
      <w:divBdr>
        <w:top w:val="none" w:sz="0" w:space="0" w:color="auto"/>
        <w:left w:val="none" w:sz="0" w:space="0" w:color="auto"/>
        <w:bottom w:val="none" w:sz="0" w:space="0" w:color="auto"/>
        <w:right w:val="none" w:sz="0" w:space="0" w:color="auto"/>
      </w:divBdr>
      <w:divsChild>
        <w:div w:id="766657296">
          <w:blockQuote w:val="1"/>
          <w:marLeft w:val="720"/>
          <w:marRight w:val="720"/>
          <w:marTop w:val="100"/>
          <w:marBottom w:val="100"/>
          <w:divBdr>
            <w:top w:val="none" w:sz="0" w:space="0" w:color="auto"/>
            <w:left w:val="none" w:sz="0" w:space="0" w:color="auto"/>
            <w:bottom w:val="none" w:sz="0" w:space="0" w:color="auto"/>
            <w:right w:val="none" w:sz="0" w:space="0" w:color="auto"/>
          </w:divBdr>
        </w:div>
        <w:div w:id="1723821933">
          <w:blockQuote w:val="1"/>
          <w:marLeft w:val="720"/>
          <w:marRight w:val="720"/>
          <w:marTop w:val="100"/>
          <w:marBottom w:val="100"/>
          <w:divBdr>
            <w:top w:val="none" w:sz="0" w:space="0" w:color="auto"/>
            <w:left w:val="none" w:sz="0" w:space="0" w:color="auto"/>
            <w:bottom w:val="none" w:sz="0" w:space="0" w:color="auto"/>
            <w:right w:val="none" w:sz="0" w:space="0" w:color="auto"/>
          </w:divBdr>
        </w:div>
        <w:div w:id="12582450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9891956">
      <w:bodyDiv w:val="1"/>
      <w:marLeft w:val="0"/>
      <w:marRight w:val="0"/>
      <w:marTop w:val="0"/>
      <w:marBottom w:val="0"/>
      <w:divBdr>
        <w:top w:val="none" w:sz="0" w:space="0" w:color="auto"/>
        <w:left w:val="none" w:sz="0" w:space="0" w:color="auto"/>
        <w:bottom w:val="none" w:sz="0" w:space="0" w:color="auto"/>
        <w:right w:val="none" w:sz="0" w:space="0" w:color="auto"/>
      </w:divBdr>
    </w:div>
    <w:div w:id="1784422112">
      <w:bodyDiv w:val="1"/>
      <w:marLeft w:val="0"/>
      <w:marRight w:val="0"/>
      <w:marTop w:val="0"/>
      <w:marBottom w:val="0"/>
      <w:divBdr>
        <w:top w:val="none" w:sz="0" w:space="0" w:color="auto"/>
        <w:left w:val="none" w:sz="0" w:space="0" w:color="auto"/>
        <w:bottom w:val="none" w:sz="0" w:space="0" w:color="auto"/>
        <w:right w:val="none" w:sz="0" w:space="0" w:color="auto"/>
      </w:divBdr>
    </w:div>
    <w:div w:id="1879203712">
      <w:bodyDiv w:val="1"/>
      <w:marLeft w:val="0"/>
      <w:marRight w:val="0"/>
      <w:marTop w:val="0"/>
      <w:marBottom w:val="0"/>
      <w:divBdr>
        <w:top w:val="none" w:sz="0" w:space="0" w:color="auto"/>
        <w:left w:val="none" w:sz="0" w:space="0" w:color="auto"/>
        <w:bottom w:val="none" w:sz="0" w:space="0" w:color="auto"/>
        <w:right w:val="none" w:sz="0" w:space="0" w:color="auto"/>
      </w:divBdr>
    </w:div>
    <w:div w:id="2046976046">
      <w:bodyDiv w:val="1"/>
      <w:marLeft w:val="0"/>
      <w:marRight w:val="0"/>
      <w:marTop w:val="0"/>
      <w:marBottom w:val="0"/>
      <w:divBdr>
        <w:top w:val="none" w:sz="0" w:space="0" w:color="auto"/>
        <w:left w:val="none" w:sz="0" w:space="0" w:color="auto"/>
        <w:bottom w:val="none" w:sz="0" w:space="0" w:color="auto"/>
        <w:right w:val="none" w:sz="0" w:space="0" w:color="auto"/>
      </w:divBdr>
      <w:divsChild>
        <w:div w:id="1954163795">
          <w:blockQuote w:val="1"/>
          <w:marLeft w:val="720"/>
          <w:marRight w:val="720"/>
          <w:marTop w:val="100"/>
          <w:marBottom w:val="100"/>
          <w:divBdr>
            <w:top w:val="none" w:sz="0" w:space="0" w:color="auto"/>
            <w:left w:val="none" w:sz="0" w:space="0" w:color="auto"/>
            <w:bottom w:val="none" w:sz="0" w:space="0" w:color="auto"/>
            <w:right w:val="none" w:sz="0" w:space="0" w:color="auto"/>
          </w:divBdr>
        </w:div>
        <w:div w:id="79451534">
          <w:blockQuote w:val="1"/>
          <w:marLeft w:val="720"/>
          <w:marRight w:val="720"/>
          <w:marTop w:val="100"/>
          <w:marBottom w:val="100"/>
          <w:divBdr>
            <w:top w:val="none" w:sz="0" w:space="0" w:color="auto"/>
            <w:left w:val="none" w:sz="0" w:space="0" w:color="auto"/>
            <w:bottom w:val="none" w:sz="0" w:space="0" w:color="auto"/>
            <w:right w:val="none" w:sz="0" w:space="0" w:color="auto"/>
          </w:divBdr>
        </w:div>
        <w:div w:id="13038494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9C7CE-21E3-4A85-9BC0-F45579D58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3912</TotalTime>
  <Pages>5</Pages>
  <Words>2394</Words>
  <Characters>13650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16012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Tingting Geng</dc:creator>
  <cp:keywords/>
  <dc:description/>
  <cp:lastModifiedBy>Google</cp:lastModifiedBy>
  <cp:revision>545</cp:revision>
  <cp:lastPrinted>2002-04-23T07:10:00Z</cp:lastPrinted>
  <dcterms:created xsi:type="dcterms:W3CDTF">2024-09-26T05:42:00Z</dcterms:created>
  <dcterms:modified xsi:type="dcterms:W3CDTF">2025-03-28T03:02:00Z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(3)dKXupqJpjtGn4Qjdz7GXafZR4WqSU2sqJz8JDFWV8bhZyHhc88rw0bFTocMythpUrFLJlqFx
YiXF0iGXUnkWqHbJM7S8xeYM/fDavJOid28wjkUPrLmbfc9jgZgKDq8g2p4sfhTenO2oJSyc
jTq0vSbKHoq7b3IHr3AfmevFskaC1j9dVf2YFJwR5eCIPtOh3b1qdFuQ1MTl/7nNlCNqu+2C
wXf4tZsJv2Pq49cJL0</vt:lpwstr>
  </property>
  <property fmtid="{D5CDD505-2E9C-101B-9397-08002B2CF9AE}" pid="3" name="_2015_ms_pID_7253431">
    <vt:lpwstr>DS4XSBbyn/lfjWbtwc+vDhLz2fiSnATrfRlLgjavqPeniJjlwk4Gum
tnkSyR7NBqm5XvIiY0corQPslu4rAICOmV8nNuq1PBO2gtapnKdiF/fBvcApSq9DUHAzNVcI
ZhQseVBtiAJZnnPH1U0teoRxFNcu+TJNz43VaKgXZXZP7ju2YhSuaFxx1dccAuB0HVq3kBKl
+ATk8PDaL6eP8yEQ/xAfk58SXUfvzPSUtH56</vt:lpwstr>
  </property>
  <property fmtid="{D5CDD505-2E9C-101B-9397-08002B2CF9AE}" pid="4" name="_2015_ms_pID_7253432">
    <vt:lpwstr>kw==</vt:lpwstr>
  </property>
</Properties>
</file>